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ascii="方正小标宋简体" w:eastAsia="方正小标宋简体"/>
          <w:color w:val="auto"/>
          <w:sz w:val="36"/>
          <w:szCs w:val="36"/>
        </w:rPr>
      </w:pPr>
      <w:r>
        <w:rPr>
          <w:rFonts w:hint="eastAsia" w:ascii="方正小标宋简体" w:eastAsia="方正小标宋简体"/>
          <w:color w:val="auto"/>
          <w:sz w:val="36"/>
          <w:szCs w:val="36"/>
        </w:rPr>
        <w:t>中国民主建国会北京市委员会部门整体绩效评价报告</w:t>
      </w:r>
    </w:p>
    <w:p>
      <w:pPr>
        <w:jc w:val="center"/>
        <w:rPr>
          <w:rFonts w:ascii="仿宋_GB2312"/>
          <w:color w:val="auto"/>
          <w:szCs w:val="30"/>
        </w:rPr>
      </w:pPr>
    </w:p>
    <w:p>
      <w:pPr>
        <w:spacing w:line="600" w:lineRule="exact"/>
        <w:ind w:firstLine="640" w:firstLineChars="200"/>
        <w:rPr>
          <w:rFonts w:ascii="黑体" w:hAnsi="黑体" w:eastAsia="黑体" w:cs="宋体"/>
          <w:color w:val="auto"/>
          <w:kern w:val="0"/>
          <w:sz w:val="32"/>
          <w:szCs w:val="32"/>
        </w:rPr>
      </w:pPr>
      <w:r>
        <w:rPr>
          <w:rFonts w:hint="eastAsia" w:ascii="黑体" w:hAnsi="黑体" w:eastAsia="黑体" w:cs="宋体"/>
          <w:color w:val="auto"/>
          <w:kern w:val="0"/>
          <w:sz w:val="32"/>
          <w:szCs w:val="32"/>
        </w:rPr>
        <w:t>一、部门概况</w:t>
      </w:r>
    </w:p>
    <w:p>
      <w:pPr>
        <w:spacing w:line="600" w:lineRule="exact"/>
        <w:ind w:firstLine="640" w:firstLineChars="200"/>
        <w:rPr>
          <w:rFonts w:ascii="楷体_GB2312" w:eastAsia="楷体_GB2312"/>
          <w:color w:val="auto"/>
          <w:sz w:val="32"/>
          <w:szCs w:val="32"/>
        </w:rPr>
      </w:pPr>
      <w:r>
        <w:rPr>
          <w:rFonts w:hint="eastAsia" w:ascii="楷体_GB2312" w:eastAsia="楷体_GB2312"/>
          <w:color w:val="auto"/>
          <w:sz w:val="32"/>
          <w:szCs w:val="32"/>
        </w:rPr>
        <w:t>（一）机构设置及职责工作任务情况</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中国民主建国会北京市委员会属正局级行政单位，下设办公室、研究室、组织处、宣传处、参政议政处、社会服务和联络处。</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 中国民主建国会北京市委员会是中国民主建国会的省级地方组织，主要职能是参政议政、民主监督和参加中国共产党领导的政治协商。主要工作包括团结带领广大会员，积极参加社会主义现代化建设的实践活动，围绕首都经济建设和社会发展中的重大问题，开展调查研究，积极建言献策，努力服务社会等。</w:t>
      </w:r>
    </w:p>
    <w:p>
      <w:pPr>
        <w:spacing w:line="600" w:lineRule="exact"/>
        <w:ind w:firstLine="640" w:firstLineChars="200"/>
        <w:rPr>
          <w:rFonts w:ascii="楷体_GB2312" w:eastAsia="楷体_GB2312"/>
          <w:color w:val="auto"/>
          <w:sz w:val="32"/>
          <w:szCs w:val="32"/>
        </w:rPr>
      </w:pPr>
      <w:r>
        <w:rPr>
          <w:rFonts w:hint="eastAsia" w:ascii="楷体_GB2312" w:eastAsia="楷体_GB2312"/>
          <w:color w:val="auto"/>
          <w:sz w:val="32"/>
          <w:szCs w:val="32"/>
        </w:rPr>
        <w:t>（二）部门整体绩效目标设立情况</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2022年民建北京市委坚持以习近平新时代中国特色社会主义思想为指导，全面</w:t>
      </w:r>
      <w:r>
        <w:rPr>
          <w:rFonts w:hint="eastAsia" w:ascii="仿宋_GB2312" w:hAnsi="仿宋_GB2312" w:eastAsia="仿宋_GB2312" w:cs="仿宋_GB2312"/>
          <w:color w:val="auto"/>
          <w:sz w:val="32"/>
          <w:szCs w:val="32"/>
          <w:shd w:val="clear" w:color="auto" w:fill="FFFFFF"/>
          <w:lang w:eastAsia="zh-CN"/>
        </w:rPr>
        <w:t>学习</w:t>
      </w:r>
      <w:r>
        <w:rPr>
          <w:rFonts w:hint="eastAsia" w:ascii="仿宋_GB2312" w:hAnsi="仿宋_GB2312" w:eastAsia="仿宋_GB2312" w:cs="仿宋_GB2312"/>
          <w:color w:val="auto"/>
          <w:sz w:val="32"/>
          <w:szCs w:val="32"/>
          <w:shd w:val="clear" w:color="auto" w:fill="FFFFFF"/>
        </w:rPr>
        <w:t>贯彻中共二十大精神，提高政治站位、理论站位、时代站位，牢固树立大局意识，</w:t>
      </w:r>
      <w:r>
        <w:rPr>
          <w:rFonts w:hint="eastAsia" w:ascii="仿宋_GB2312" w:hAnsi="仿宋_GB2312" w:eastAsia="仿宋_GB2312" w:cs="仿宋_GB2312"/>
          <w:color w:val="auto"/>
          <w:sz w:val="32"/>
          <w:szCs w:val="32"/>
          <w:shd w:val="clear" w:color="auto" w:fill="FFFFFF"/>
          <w:lang w:eastAsia="zh-CN"/>
        </w:rPr>
        <w:t>充分</w:t>
      </w:r>
      <w:r>
        <w:rPr>
          <w:rFonts w:hint="eastAsia" w:ascii="仿宋_GB2312" w:hAnsi="仿宋_GB2312" w:eastAsia="仿宋_GB2312" w:cs="仿宋_GB2312"/>
          <w:color w:val="auto"/>
          <w:sz w:val="32"/>
          <w:szCs w:val="32"/>
          <w:shd w:val="clear" w:color="auto" w:fill="FFFFFF"/>
        </w:rPr>
        <w:t>发挥特色优势，深入调查研究，</w:t>
      </w:r>
      <w:r>
        <w:rPr>
          <w:rFonts w:hint="eastAsia" w:ascii="仿宋_GB2312" w:hAnsi="仿宋_GB2312" w:eastAsia="仿宋_GB2312" w:cs="仿宋_GB2312"/>
          <w:color w:val="auto"/>
          <w:sz w:val="32"/>
          <w:szCs w:val="32"/>
          <w:shd w:val="clear" w:color="auto" w:fill="FFFFFF"/>
          <w:lang w:eastAsia="zh-CN"/>
        </w:rPr>
        <w:t>积极建言资政，</w:t>
      </w:r>
      <w:r>
        <w:rPr>
          <w:rFonts w:hint="eastAsia" w:ascii="仿宋_GB2312" w:hAnsi="仿宋_GB2312" w:eastAsia="仿宋_GB2312" w:cs="仿宋_GB2312"/>
          <w:color w:val="auto"/>
          <w:sz w:val="32"/>
          <w:szCs w:val="32"/>
          <w:shd w:val="clear" w:color="auto" w:fill="FFFFFF"/>
        </w:rPr>
        <w:t>为推动新时代首都</w:t>
      </w:r>
      <w:r>
        <w:rPr>
          <w:rFonts w:hint="eastAsia" w:ascii="仿宋_GB2312" w:hAnsi="仿宋_GB2312" w:eastAsia="仿宋_GB2312" w:cs="仿宋_GB2312"/>
          <w:color w:val="auto"/>
          <w:sz w:val="32"/>
          <w:szCs w:val="32"/>
          <w:shd w:val="clear" w:color="auto" w:fill="FFFFFF"/>
          <w:lang w:eastAsia="zh-CN"/>
        </w:rPr>
        <w:t>高质量</w:t>
      </w:r>
      <w:r>
        <w:rPr>
          <w:rFonts w:hint="eastAsia" w:ascii="仿宋_GB2312" w:hAnsi="仿宋_GB2312" w:eastAsia="仿宋_GB2312" w:cs="仿宋_GB2312"/>
          <w:color w:val="auto"/>
          <w:sz w:val="32"/>
          <w:szCs w:val="32"/>
          <w:shd w:val="clear" w:color="auto" w:fill="FFFFFF"/>
        </w:rPr>
        <w:t>发展凝心聚力。</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民建北京市委结合部门职责、2022年重点工作任务及财政资金分配使用计划，研究制定了年度绩效目标：以习近平新时代中国特色社会主义思想为指导，切实履行参政党职能，积极有效开展各项工作，奋发有为的推进首都建设和发展。根据总体目标并结合工作重点，</w:t>
      </w:r>
      <w:r>
        <w:rPr>
          <w:rFonts w:hint="eastAsia" w:ascii="仿宋_GB2312" w:hAnsi="仿宋_GB2312" w:eastAsia="仿宋_GB2312" w:cs="仿宋_GB2312"/>
          <w:color w:val="auto"/>
          <w:sz w:val="32"/>
          <w:szCs w:val="32"/>
          <w:shd w:val="clear" w:color="auto" w:fill="FFFFFF"/>
          <w:lang w:eastAsia="zh-CN"/>
        </w:rPr>
        <w:t>在</w:t>
      </w:r>
      <w:r>
        <w:rPr>
          <w:rFonts w:hint="eastAsia" w:ascii="仿宋_GB2312" w:hAnsi="仿宋_GB2312" w:eastAsia="仿宋_GB2312" w:cs="仿宋_GB2312"/>
          <w:color w:val="auto"/>
          <w:sz w:val="32"/>
          <w:szCs w:val="32"/>
          <w:shd w:val="clear" w:color="auto" w:fill="FFFFFF"/>
        </w:rPr>
        <w:t>参政议政</w:t>
      </w:r>
      <w:r>
        <w:rPr>
          <w:rFonts w:hint="eastAsia" w:ascii="仿宋_GB2312" w:hAnsi="仿宋_GB2312" w:eastAsia="仿宋_GB2312" w:cs="仿宋_GB2312"/>
          <w:color w:val="auto"/>
          <w:sz w:val="32"/>
          <w:szCs w:val="32"/>
          <w:shd w:val="clear" w:color="auto" w:fill="FFFFFF"/>
          <w:lang w:eastAsia="zh-CN"/>
        </w:rPr>
        <w:t>与</w:t>
      </w:r>
      <w:r>
        <w:rPr>
          <w:rFonts w:hint="eastAsia" w:ascii="仿宋_GB2312" w:hAnsi="仿宋_GB2312" w:eastAsia="仿宋_GB2312" w:cs="仿宋_GB2312"/>
          <w:color w:val="auto"/>
          <w:sz w:val="32"/>
          <w:szCs w:val="32"/>
          <w:shd w:val="clear" w:color="auto" w:fill="FFFFFF"/>
        </w:rPr>
        <w:t>组织建设</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换届工作</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宣传教育</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理论研究和</w:t>
      </w:r>
      <w:r>
        <w:rPr>
          <w:rFonts w:hint="eastAsia" w:ascii="仿宋_GB2312" w:hAnsi="仿宋_GB2312" w:eastAsia="仿宋_GB2312" w:cs="仿宋_GB2312"/>
          <w:color w:val="auto"/>
          <w:sz w:val="32"/>
          <w:szCs w:val="32"/>
          <w:shd w:val="clear" w:color="auto" w:fill="FFFFFF"/>
          <w:lang w:eastAsia="zh-CN"/>
        </w:rPr>
        <w:t>社会服务联络，政府会计制度改革和绩效管理</w:t>
      </w:r>
      <w:r>
        <w:rPr>
          <w:rFonts w:hint="eastAsia" w:ascii="仿宋_GB2312" w:hAnsi="仿宋_GB2312" w:eastAsia="仿宋_GB2312" w:cs="仿宋_GB2312"/>
          <w:color w:val="auto"/>
          <w:sz w:val="32"/>
          <w:szCs w:val="32"/>
          <w:shd w:val="clear" w:color="auto" w:fill="FFFFFF"/>
        </w:rPr>
        <w:t>等方面设定了绩效指标，指标设定与部门职能任务匹配，符合相关法律法规的要求，目标依据充分，具有一定的可操作性和可实现性。</w:t>
      </w:r>
    </w:p>
    <w:p>
      <w:pPr>
        <w:spacing w:line="600" w:lineRule="exact"/>
        <w:ind w:firstLine="640" w:firstLineChars="200"/>
        <w:rPr>
          <w:rFonts w:ascii="黑体" w:hAnsi="黑体" w:eastAsia="黑体" w:cs="宋体"/>
          <w:color w:val="auto"/>
          <w:kern w:val="0"/>
          <w:sz w:val="32"/>
          <w:szCs w:val="32"/>
        </w:rPr>
      </w:pPr>
      <w:r>
        <w:rPr>
          <w:rFonts w:hint="eastAsia" w:ascii="黑体" w:hAnsi="黑体" w:eastAsia="黑体" w:cs="宋体"/>
          <w:color w:val="auto"/>
          <w:kern w:val="0"/>
          <w:sz w:val="32"/>
          <w:szCs w:val="32"/>
        </w:rPr>
        <w:t>二</w:t>
      </w:r>
      <w:r>
        <w:rPr>
          <w:rFonts w:ascii="黑体" w:hAnsi="黑体" w:eastAsia="黑体" w:cs="宋体"/>
          <w:color w:val="auto"/>
          <w:kern w:val="0"/>
          <w:sz w:val="32"/>
          <w:szCs w:val="32"/>
        </w:rPr>
        <w:t>、</w:t>
      </w:r>
      <w:r>
        <w:rPr>
          <w:rFonts w:hint="eastAsia" w:ascii="黑体" w:hAnsi="黑体" w:eastAsia="黑体" w:cs="宋体"/>
          <w:color w:val="auto"/>
          <w:kern w:val="0"/>
          <w:sz w:val="32"/>
          <w:szCs w:val="32"/>
        </w:rPr>
        <w:t>当年</w:t>
      </w:r>
      <w:r>
        <w:rPr>
          <w:rFonts w:ascii="黑体" w:hAnsi="黑体" w:eastAsia="黑体" w:cs="宋体"/>
          <w:color w:val="auto"/>
          <w:kern w:val="0"/>
          <w:sz w:val="32"/>
          <w:szCs w:val="32"/>
        </w:rPr>
        <w:t>预算执行情况</w:t>
      </w:r>
    </w:p>
    <w:p>
      <w:pPr>
        <w:spacing w:line="60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shd w:val="clear" w:color="auto" w:fill="FFFFFF"/>
        </w:rPr>
        <w:t>2022年全年预算数206</w:t>
      </w:r>
      <w:r>
        <w:rPr>
          <w:rFonts w:hint="eastAsia" w:ascii="仿宋_GB2312" w:hAnsi="仿宋_GB2312" w:eastAsia="仿宋_GB2312" w:cs="仿宋_GB2312"/>
          <w:color w:val="auto"/>
          <w:sz w:val="32"/>
          <w:szCs w:val="32"/>
          <w:shd w:val="clear" w:color="auto" w:fill="FFFFFF"/>
          <w:lang w:val="en-US" w:eastAsia="zh-CN"/>
        </w:rPr>
        <w:t>6</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87</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val="en-US" w:eastAsia="zh-CN"/>
        </w:rPr>
        <w:t>其中：</w:t>
      </w:r>
      <w:r>
        <w:rPr>
          <w:rFonts w:hint="eastAsia" w:ascii="仿宋_GB2312" w:hAnsi="仿宋_GB2312" w:eastAsia="仿宋_GB2312" w:cs="仿宋_GB2312"/>
          <w:color w:val="auto"/>
          <w:sz w:val="32"/>
          <w:szCs w:val="32"/>
          <w:shd w:val="clear" w:color="auto" w:fill="FFFFFF"/>
        </w:rPr>
        <w:t>年初结转结余3.46万元；</w:t>
      </w:r>
      <w:r>
        <w:rPr>
          <w:rFonts w:hint="eastAsia" w:ascii="仿宋_GB2312" w:hAnsi="仿宋_GB2312" w:eastAsia="仿宋_GB2312" w:cs="仿宋_GB2312"/>
          <w:color w:val="auto"/>
          <w:sz w:val="32"/>
          <w:szCs w:val="32"/>
          <w:shd w:val="clear" w:color="auto" w:fill="FFFFFF"/>
          <w:lang w:val="en-US" w:eastAsia="zh-CN"/>
        </w:rPr>
        <w:t>本年经费中</w:t>
      </w:r>
      <w:r>
        <w:rPr>
          <w:rFonts w:hint="eastAsia" w:ascii="仿宋_GB2312" w:hAnsi="仿宋_GB2312" w:eastAsia="仿宋_GB2312" w:cs="仿宋_GB2312"/>
          <w:color w:val="auto"/>
          <w:sz w:val="32"/>
          <w:szCs w:val="32"/>
          <w:shd w:val="clear" w:color="auto" w:fill="FFFFFF"/>
        </w:rPr>
        <w:t>，基本经费1881.04万元，项目经费185.83万元。资金总体支出2031.53万元，其中，基本支出1858.75万元，项目支出172.78万元。预算执行率为98.</w:t>
      </w:r>
      <w:r>
        <w:rPr>
          <w:rFonts w:hint="eastAsia" w:ascii="仿宋_GB2312" w:hAnsi="仿宋_GB2312" w:eastAsia="仿宋_GB2312" w:cs="仿宋_GB2312"/>
          <w:color w:val="auto"/>
          <w:sz w:val="32"/>
          <w:szCs w:val="32"/>
          <w:shd w:val="clear" w:color="auto" w:fill="FFFFFF"/>
          <w:lang w:val="en-US" w:eastAsia="zh-CN"/>
        </w:rPr>
        <w:t>29</w:t>
      </w:r>
      <w:r>
        <w:rPr>
          <w:rFonts w:hint="eastAsia" w:ascii="仿宋_GB2312" w:hAnsi="仿宋_GB2312" w:eastAsia="仿宋_GB2312" w:cs="仿宋_GB2312"/>
          <w:color w:val="auto"/>
          <w:sz w:val="32"/>
          <w:szCs w:val="32"/>
          <w:shd w:val="clear" w:color="auto" w:fill="FFFFFF"/>
        </w:rPr>
        <w:t>%，比2021年预算执行率94.78%增加了3.</w:t>
      </w:r>
      <w:r>
        <w:rPr>
          <w:rFonts w:hint="eastAsia" w:ascii="仿宋_GB2312" w:hAnsi="仿宋_GB2312" w:eastAsia="仿宋_GB2312" w:cs="仿宋_GB2312"/>
          <w:color w:val="auto"/>
          <w:sz w:val="32"/>
          <w:szCs w:val="32"/>
          <w:shd w:val="clear" w:color="auto" w:fill="FFFFFF"/>
          <w:lang w:val="en-US" w:eastAsia="zh-CN"/>
        </w:rPr>
        <w:t>51</w:t>
      </w:r>
      <w:r>
        <w:rPr>
          <w:rFonts w:hint="eastAsia" w:ascii="仿宋_GB2312" w:hAnsi="仿宋_GB2312" w:eastAsia="仿宋_GB2312" w:cs="仿宋_GB2312"/>
          <w:color w:val="auto"/>
          <w:sz w:val="32"/>
          <w:szCs w:val="32"/>
          <w:shd w:val="clear" w:color="auto" w:fill="FFFFFF"/>
        </w:rPr>
        <w:t>个百分点。</w:t>
      </w:r>
    </w:p>
    <w:p>
      <w:pPr>
        <w:spacing w:line="600" w:lineRule="exact"/>
        <w:ind w:left="105" w:leftChars="50" w:firstLine="480" w:firstLineChars="150"/>
        <w:rPr>
          <w:rFonts w:ascii="黑体" w:hAnsi="黑体" w:eastAsia="黑体" w:cs="宋体"/>
          <w:color w:val="auto"/>
          <w:kern w:val="0"/>
          <w:sz w:val="32"/>
          <w:szCs w:val="32"/>
        </w:rPr>
      </w:pPr>
      <w:r>
        <w:rPr>
          <w:rFonts w:hint="eastAsia" w:ascii="黑体" w:hAnsi="黑体" w:eastAsia="黑体" w:cs="宋体"/>
          <w:color w:val="auto"/>
          <w:kern w:val="0"/>
          <w:sz w:val="32"/>
          <w:szCs w:val="32"/>
        </w:rPr>
        <w:t>三</w:t>
      </w:r>
      <w:r>
        <w:rPr>
          <w:rFonts w:ascii="黑体" w:hAnsi="黑体" w:eastAsia="黑体" w:cs="宋体"/>
          <w:color w:val="auto"/>
          <w:kern w:val="0"/>
          <w:sz w:val="32"/>
          <w:szCs w:val="32"/>
        </w:rPr>
        <w:t>、整体绩效目标实现情况</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2022年民建北京市委坚持以习近平新时代中国特色社会主义思想为指导，在民建中央和中共北京市委的领导下，胸怀“两个大局”，心怀“国之大者”，以坚实的理论，扎实的工作，务实的作风，积极践行“四新”“三好”要求，不断提高自身建设水平，认真履行参政党职能，全面完成了各项工作任务，为</w:t>
      </w:r>
      <w:r>
        <w:rPr>
          <w:rFonts w:hint="eastAsia" w:ascii="仿宋_GB2312" w:hAnsi="仿宋_GB2312" w:eastAsia="仿宋_GB2312" w:cs="仿宋_GB2312"/>
          <w:color w:val="auto"/>
          <w:sz w:val="32"/>
          <w:szCs w:val="32"/>
          <w:shd w:val="clear" w:color="auto" w:fill="FFFFFF"/>
          <w:lang w:eastAsia="zh-CN"/>
        </w:rPr>
        <w:t>推动首都高质量发展</w:t>
      </w:r>
      <w:r>
        <w:rPr>
          <w:rFonts w:hint="eastAsia" w:ascii="仿宋_GB2312" w:hAnsi="仿宋_GB2312" w:eastAsia="仿宋_GB2312" w:cs="仿宋_GB2312"/>
          <w:color w:val="auto"/>
          <w:sz w:val="32"/>
          <w:szCs w:val="32"/>
          <w:shd w:val="clear" w:color="auto" w:fill="FFFFFF"/>
        </w:rPr>
        <w:t>，实现中华民族伟大复兴贡献了智慧和力量。</w:t>
      </w:r>
    </w:p>
    <w:p>
      <w:pPr>
        <w:spacing w:line="600" w:lineRule="exact"/>
        <w:ind w:left="105" w:leftChars="50" w:firstLine="480" w:firstLineChars="150"/>
        <w:rPr>
          <w:rFonts w:ascii="楷体_GB2312" w:eastAsia="楷体_GB2312"/>
          <w:color w:val="auto"/>
          <w:sz w:val="32"/>
          <w:szCs w:val="32"/>
        </w:rPr>
      </w:pPr>
      <w:r>
        <w:rPr>
          <w:rFonts w:hint="eastAsia" w:ascii="楷体_GB2312" w:eastAsia="楷体_GB2312"/>
          <w:color w:val="auto"/>
          <w:sz w:val="32"/>
          <w:szCs w:val="32"/>
        </w:rPr>
        <w:t>（一）产出完成情况分析</w:t>
      </w:r>
    </w:p>
    <w:p>
      <w:pPr>
        <w:spacing w:line="600" w:lineRule="exact"/>
        <w:ind w:left="105" w:leftChars="50" w:firstLine="480" w:firstLineChars="15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1.产出数量</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2022年民建北京市委深入学习贯彻中共二十大精神，高站位凝聚思想共识。各级组织举办专题讲座、交流研讨、在线答题等学习活动近160次，会员撰写学习心得200余篇。</w:t>
      </w:r>
      <w:r>
        <w:rPr>
          <w:rFonts w:hint="eastAsia" w:ascii="仿宋_GB2312" w:hAnsi="仿宋_GB2312" w:eastAsia="仿宋_GB2312" w:cs="仿宋_GB2312"/>
          <w:bCs/>
          <w:sz w:val="32"/>
          <w:szCs w:val="32"/>
        </w:rPr>
        <w:t>组织“见证・非凡十年”系列活动，推出会员专访26篇，展出民建名家书画摄影作品120幅</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color w:val="auto"/>
          <w:sz w:val="32"/>
          <w:szCs w:val="32"/>
          <w:shd w:val="clear" w:color="auto" w:fill="FFFFFF"/>
        </w:rPr>
        <w:t>围绕“中共百年奋斗的历史经验为参政党建设提供的重要启示”和“中国新型政党制度学习与研究”等主题形成理论成果49篇。参政议政聚焦重点，紧扣民建中央重点专题、市委市政府中心工作，聚焦培育“专精特新”企业、“两区</w:t>
      </w:r>
      <w:r>
        <w:rPr>
          <w:rFonts w:hint="eastAsia" w:ascii="仿宋_GB2312" w:hAnsi="仿宋_GB2312" w:eastAsia="仿宋_GB2312" w:cs="仿宋_GB2312"/>
          <w:color w:val="auto"/>
          <w:sz w:val="32"/>
          <w:szCs w:val="32"/>
        </w:rPr>
        <w:t>”建设等课题，深入调查研究，形成调研成果240余篇。围绕银发经济发展，大变革时代的城市就业与发展，</w:t>
      </w:r>
      <w:r>
        <w:rPr>
          <w:rFonts w:hint="eastAsia" w:ascii="仿宋_GB2312" w:hAnsi="仿宋_GB2312" w:eastAsia="仿宋_GB2312" w:cs="仿宋_GB2312"/>
          <w:color w:val="auto"/>
          <w:sz w:val="32"/>
          <w:szCs w:val="32"/>
          <w:shd w:val="clear" w:color="auto" w:fill="FFFFFF"/>
        </w:rPr>
        <w:t>促进“专精特新”企业高质量发展，职业教育发展的机遇、困境与前景等主题召开一系列研讨会，为经济社会平稳健康发展献计出力</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上报社</w:t>
      </w:r>
      <w:r>
        <w:rPr>
          <w:rFonts w:hint="eastAsia" w:ascii="仿宋_GB2312" w:hAnsi="仿宋_GB2312" w:eastAsia="仿宋_GB2312" w:cs="仿宋_GB2312"/>
          <w:color w:val="auto"/>
          <w:sz w:val="32"/>
          <w:szCs w:val="32"/>
        </w:rPr>
        <w:t>情民意信息</w:t>
      </w:r>
      <w:r>
        <w:rPr>
          <w:rFonts w:hint="eastAsia" w:ascii="仿宋_GB2312" w:hAnsi="仿宋_GB2312" w:eastAsia="仿宋_GB2312" w:cs="仿宋_GB2312"/>
          <w:color w:val="auto"/>
          <w:sz w:val="32"/>
          <w:szCs w:val="32"/>
          <w:lang w:val="en-US" w:eastAsia="zh-CN"/>
        </w:rPr>
        <w:t>600余</w:t>
      </w:r>
      <w:r>
        <w:rPr>
          <w:rFonts w:hint="eastAsia" w:ascii="仿宋_GB2312" w:hAnsi="仿宋_GB2312" w:eastAsia="仿宋_GB2312" w:cs="仿宋_GB2312"/>
          <w:color w:val="auto"/>
          <w:sz w:val="32"/>
          <w:szCs w:val="32"/>
        </w:rPr>
        <w:t>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围绕“探索博物馆园区式发展新模式”“加强丽泽金融商务区及城市航站楼韧性研究”主题形成2篇议政会发言，多篇发言在市政协相关会议上取得良好效果。13名机关干部加入中共北京市委疫情防控指导组，参加17轮一线检查指导。围绕疫情防控各方面工作收集200余条建议，被中共北京市委统战部采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统筹推进组织建设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照“集体领导、民主集中、个别酝酿、会议决定”的方针，进一步明确领导班子岗位责任、议事规则、工作程序；召开主委办公会议18次、主委会议16次、常委会议6次、全委会议3次。坚持突出质量优先、体现界别特色的原则，修订发展会员规程，规范有序开展会员发展工作。新发展会员417人，截至2022年12月底，全市共有民建会员11618人，经济界会员占79%。配合民建中央、市人大、市政协做好换届工作，积极推荐优秀人才。线上线下结合</w:t>
      </w:r>
      <w:r>
        <w:rPr>
          <w:rStyle w:val="10"/>
          <w:rFonts w:hint="eastAsia" w:ascii="仿宋_GB2312" w:hAnsi="仿宋_GB2312" w:eastAsia="仿宋_GB2312" w:cs="仿宋_GB2312"/>
          <w:sz w:val="32"/>
          <w:szCs w:val="32"/>
        </w:rPr>
        <w:t>举办市委委员暨骨干会员学习班、</w:t>
      </w:r>
      <w:r>
        <w:rPr>
          <w:rFonts w:hint="eastAsia" w:ascii="仿宋_GB2312" w:hAnsi="仿宋_GB2312" w:eastAsia="仿宋_GB2312" w:cs="仿宋_GB2312"/>
          <w:sz w:val="32"/>
          <w:szCs w:val="32"/>
        </w:rPr>
        <w:t>基层组织负责人学习班；</w:t>
      </w:r>
      <w:r>
        <w:rPr>
          <w:rFonts w:hint="eastAsia" w:ascii="仿宋_GB2312" w:hAnsi="仿宋_GB2312" w:eastAsia="仿宋_GB2312" w:cs="仿宋_GB2312"/>
          <w:color w:val="000000"/>
          <w:sz w:val="32"/>
          <w:szCs w:val="32"/>
        </w:rPr>
        <w:t>培训新会员403人</w:t>
      </w:r>
      <w:r>
        <w:rPr>
          <w:rFonts w:hint="eastAsia" w:ascii="仿宋_GB2312" w:hAnsi="仿宋_GB2312" w:eastAsia="仿宋_GB2312" w:cs="仿宋_GB2312"/>
          <w:sz w:val="32"/>
          <w:szCs w:val="32"/>
        </w:rPr>
        <w:t>；组织会员117人次参加民建中央、中共北京市委统战部举办的各类培训。</w:t>
      </w:r>
    </w:p>
    <w:p>
      <w:pPr>
        <w:spacing w:line="600" w:lineRule="exact"/>
        <w:ind w:left="105" w:leftChars="50" w:firstLine="480" w:firstLineChars="15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2.产出质量</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深入开展政治交接主题教育，围绕“中共百年奋斗的历史经验为参政党建设提供的重要启示”和“中国新型政党制度学习与研究”等主题形成理论成果49篇，获得民建中央重点理论研究课题优秀组织奖。</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推动宣传思想工作走深走实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强化宣传阵地建设，促进会内外媒体联动，市委会网站全年编发稿件2019篇，获得民建中央网站年度组稿先进单位一等奖；微信</w:t>
      </w:r>
      <w:r>
        <w:rPr>
          <w:rFonts w:hint="eastAsia" w:ascii="仿宋_GB2312" w:hAnsi="仿宋_GB2312" w:eastAsia="仿宋_GB2312" w:cs="仿宋_GB2312"/>
          <w:bCs/>
          <w:sz w:val="32"/>
          <w:szCs w:val="32"/>
        </w:rPr>
        <w:t>公众号推送文</w:t>
      </w:r>
      <w:r>
        <w:rPr>
          <w:rFonts w:hint="eastAsia" w:ascii="仿宋_GB2312" w:hAnsi="仿宋_GB2312" w:eastAsia="仿宋_GB2312" w:cs="仿宋_GB2312"/>
          <w:sz w:val="32"/>
          <w:szCs w:val="32"/>
        </w:rPr>
        <w:t>章421篇；《北京民建》增发民建北京市第十二次代表大会专刊；传统媒体和新兴媒体同时发力，在中央及北京市媒体发稿391篇。获得民建中央</w:t>
      </w:r>
      <w:r>
        <w:rPr>
          <w:rFonts w:hint="eastAsia" w:ascii="仿宋_GB2312" w:hAnsi="仿宋_GB2312" w:eastAsia="仿宋_GB2312" w:cs="仿宋_GB2312"/>
          <w:bCs/>
          <w:kern w:val="0"/>
          <w:sz w:val="32"/>
          <w:szCs w:val="32"/>
          <w:lang w:val="zh-CN"/>
        </w:rPr>
        <w:t>新闻宣传工作先进单位一等奖。</w:t>
      </w:r>
    </w:p>
    <w:p>
      <w:pPr>
        <w:spacing w:line="60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协商建言成果丰硕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0"/>
          <w:sz w:val="32"/>
          <w:szCs w:val="32"/>
        </w:rPr>
        <w:t>《关于提升碳排放数据质量，筑牢碳达峰碳中和核算基础的建议》《建议综合运用供应链金融工具，提高中小企业国际贸易竞争力》被中央统战部采用。《全面赋能北京医药健康产业高质量发展 培育北京经济发展新动能》等7篇建言专报获中共北京市委主要领导批示。</w:t>
      </w:r>
      <w:r>
        <w:rPr>
          <w:rFonts w:hint="eastAsia" w:ascii="仿宋_GB2312" w:hAnsi="仿宋_GB2312" w:eastAsia="仿宋_GB2312" w:cs="仿宋_GB2312"/>
          <w:color w:val="auto"/>
          <w:sz w:val="32"/>
          <w:szCs w:val="32"/>
        </w:rPr>
        <w:t>《关于构筑机器人和智能制造创新生态，赋能京津冀地区经济高质量发展的提案》和《关于推动北京文化赋能旅游及新消费产业，促进北京国际消费中心建设的提案》获市政协年度优秀提案。《以数字经济赋能“专精特新”中小企业高质量发展》转化为平时提案，获市政协年度界别优秀提案。</w:t>
      </w:r>
      <w:r>
        <w:rPr>
          <w:rFonts w:hint="eastAsia" w:ascii="仿宋_GB2312" w:hAnsi="仿宋_GB2312" w:eastAsia="仿宋_GB2312" w:cs="仿宋_GB2312"/>
          <w:color w:val="auto"/>
          <w:kern w:val="0"/>
          <w:sz w:val="32"/>
          <w:szCs w:val="32"/>
        </w:rPr>
        <w:t>召集会内专家学者就政府工作报告提出建议，为党委政府科学民主决策提供参考。</w:t>
      </w:r>
      <w:r>
        <w:rPr>
          <w:rFonts w:hint="eastAsia" w:ascii="仿宋_GB2312" w:hAnsi="仿宋_GB2312" w:eastAsia="仿宋_GB2312" w:cs="仿宋_GB2312"/>
          <w:color w:val="auto"/>
          <w:sz w:val="32"/>
          <w:szCs w:val="32"/>
        </w:rPr>
        <w:t>上报社情民意信息</w:t>
      </w:r>
      <w:r>
        <w:rPr>
          <w:rFonts w:hint="eastAsia" w:ascii="仿宋_GB2312" w:hAnsi="仿宋_GB2312" w:eastAsia="仿宋_GB2312" w:cs="仿宋_GB2312"/>
          <w:color w:val="auto"/>
          <w:sz w:val="32"/>
          <w:szCs w:val="32"/>
          <w:lang w:val="en-US" w:eastAsia="zh-CN"/>
        </w:rPr>
        <w:t>600余</w:t>
      </w:r>
      <w:r>
        <w:rPr>
          <w:rFonts w:hint="eastAsia" w:ascii="仿宋_GB2312" w:hAnsi="仿宋_GB2312" w:eastAsia="仿宋_GB2312" w:cs="仿宋_GB2312"/>
          <w:color w:val="auto"/>
          <w:sz w:val="32"/>
          <w:szCs w:val="32"/>
        </w:rPr>
        <w:t>篇，得到各级部门采用425篇次，7篇获市级以上领导批示。获得民建中央社情民意信息工作先</w:t>
      </w:r>
      <w:r>
        <w:rPr>
          <w:rFonts w:hint="eastAsia" w:ascii="仿宋_GB2312" w:hAnsi="仿宋_GB2312" w:eastAsia="仿宋_GB2312" w:cs="仿宋_GB2312"/>
          <w:color w:val="auto"/>
          <w:kern w:val="0"/>
          <w:sz w:val="32"/>
          <w:szCs w:val="32"/>
        </w:rPr>
        <w:t>进单位一等奖。</w:t>
      </w:r>
      <w:r>
        <w:rPr>
          <w:rFonts w:hint="eastAsia" w:ascii="仿宋_GB2312" w:hAnsi="仿宋_GB2312" w:eastAsia="仿宋_GB2312" w:cs="仿宋_GB2312"/>
          <w:color w:val="auto"/>
          <w:sz w:val="32"/>
          <w:szCs w:val="32"/>
        </w:rPr>
        <w:t>民主监督取得突破。与中共丰台区委区政府加强沟通协作，《关于打造南中轴“文化之花”体验区的建议》，助推丰台区高质量发展。</w:t>
      </w:r>
    </w:p>
    <w:p>
      <w:pPr>
        <w:spacing w:line="600" w:lineRule="exact"/>
        <w:ind w:left="105" w:leftChars="50" w:firstLine="480" w:firstLineChars="15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3.产出</w:t>
      </w:r>
      <w:r>
        <w:rPr>
          <w:rFonts w:ascii="仿宋_GB2312" w:hAnsi="宋体" w:eastAsia="仿宋_GB2312" w:cs="宋体"/>
          <w:color w:val="auto"/>
          <w:kern w:val="0"/>
          <w:sz w:val="32"/>
          <w:szCs w:val="32"/>
        </w:rPr>
        <w:t>进度</w:t>
      </w:r>
    </w:p>
    <w:p>
      <w:pPr>
        <w:spacing w:line="60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2022年</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根据部门整体产出目标完成情况分析，民建北京市委</w:t>
      </w:r>
      <w:r>
        <w:rPr>
          <w:rFonts w:hint="eastAsia" w:ascii="仿宋_GB2312" w:hAnsi="仿宋" w:eastAsia="仿宋_GB2312"/>
          <w:color w:val="auto"/>
          <w:sz w:val="32"/>
          <w:szCs w:val="32"/>
          <w:lang w:eastAsia="zh-CN"/>
        </w:rPr>
        <w:t>按照民建</w:t>
      </w:r>
      <w:r>
        <w:rPr>
          <w:rFonts w:hint="eastAsia" w:ascii="仿宋_GB2312" w:hAnsi="仿宋" w:eastAsia="仿宋_GB2312"/>
          <w:color w:val="auto"/>
          <w:sz w:val="32"/>
          <w:szCs w:val="32"/>
        </w:rPr>
        <w:t>中央</w:t>
      </w:r>
      <w:r>
        <w:rPr>
          <w:rFonts w:hint="eastAsia" w:ascii="仿宋_GB2312" w:hAnsi="仿宋" w:eastAsia="仿宋_GB2312"/>
          <w:color w:val="auto"/>
          <w:sz w:val="32"/>
          <w:szCs w:val="32"/>
          <w:lang w:eastAsia="zh-CN"/>
        </w:rPr>
        <w:t>、中共</w:t>
      </w:r>
      <w:r>
        <w:rPr>
          <w:rFonts w:hint="eastAsia" w:ascii="仿宋_GB2312" w:hAnsi="仿宋" w:eastAsia="仿宋_GB2312"/>
          <w:color w:val="auto"/>
          <w:sz w:val="32"/>
          <w:szCs w:val="32"/>
        </w:rPr>
        <w:t>北京市</w:t>
      </w:r>
      <w:r>
        <w:rPr>
          <w:rFonts w:hint="eastAsia" w:ascii="仿宋_GB2312" w:hAnsi="仿宋" w:eastAsia="仿宋_GB2312"/>
          <w:color w:val="auto"/>
          <w:sz w:val="32"/>
          <w:szCs w:val="32"/>
          <w:lang w:eastAsia="zh-CN"/>
        </w:rPr>
        <w:t>委的工作部署</w:t>
      </w:r>
      <w:r>
        <w:rPr>
          <w:rFonts w:hint="eastAsia" w:ascii="仿宋_GB2312" w:hAnsi="仿宋" w:eastAsia="仿宋_GB2312"/>
          <w:color w:val="auto"/>
          <w:sz w:val="32"/>
          <w:szCs w:val="32"/>
        </w:rPr>
        <w:t>，部门预算内的工作任务全部按照计划要求完成，通过年度各项工作有序推进落实，有效保障了项目实施进度及产出时效性。</w:t>
      </w:r>
    </w:p>
    <w:p>
      <w:pPr>
        <w:spacing w:line="600" w:lineRule="exact"/>
        <w:ind w:left="105" w:leftChars="50" w:firstLine="480" w:firstLineChars="15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4.产出成本</w:t>
      </w:r>
    </w:p>
    <w:p>
      <w:pPr>
        <w:spacing w:line="600" w:lineRule="exact"/>
        <w:ind w:left="105" w:leftChars="50" w:firstLine="480" w:firstLineChars="1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2022年整体支出2031.53万元，其中，基本支出1858.75万元，项目支出172.78万元。基本经费支出中人员经费支出1683.30万元，公用经费支出166.47万元，资本性支出8.98万元；项目预算共5个，即参政议政及组织建设项目支出36万元，宣传教育、理论研究及社会服务联络38.05万元，换届经费85.29万元，政府会计制度改革及绩效管理（委托业务费）8.26万元，民建机动经费5.18万元。</w:t>
      </w:r>
    </w:p>
    <w:p>
      <w:pPr>
        <w:spacing w:line="600" w:lineRule="exact"/>
        <w:ind w:left="105" w:leftChars="50" w:firstLine="480" w:firstLineChars="150"/>
        <w:rPr>
          <w:rFonts w:ascii="楷体_GB2312" w:eastAsia="楷体_GB2312"/>
          <w:color w:val="auto"/>
          <w:sz w:val="32"/>
          <w:szCs w:val="32"/>
        </w:rPr>
      </w:pPr>
      <w:r>
        <w:rPr>
          <w:rFonts w:hint="eastAsia" w:ascii="楷体_GB2312" w:eastAsia="楷体_GB2312"/>
          <w:color w:val="auto"/>
          <w:sz w:val="32"/>
          <w:szCs w:val="32"/>
        </w:rPr>
        <w:t>（二）效果</w:t>
      </w:r>
      <w:r>
        <w:rPr>
          <w:rFonts w:ascii="楷体_GB2312" w:eastAsia="楷体_GB2312"/>
          <w:color w:val="auto"/>
          <w:sz w:val="32"/>
          <w:szCs w:val="32"/>
        </w:rPr>
        <w:t>实现情况分析</w:t>
      </w:r>
    </w:p>
    <w:p>
      <w:pPr>
        <w:spacing w:line="600" w:lineRule="exact"/>
        <w:ind w:left="105" w:leftChars="50" w:firstLine="480" w:firstLineChars="15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1.经济</w:t>
      </w:r>
      <w:r>
        <w:rPr>
          <w:rFonts w:ascii="仿宋_GB2312" w:hAnsi="宋体" w:eastAsia="仿宋_GB2312" w:cs="宋体"/>
          <w:color w:val="auto"/>
          <w:kern w:val="0"/>
          <w:sz w:val="32"/>
          <w:szCs w:val="32"/>
        </w:rPr>
        <w:t>效益</w:t>
      </w:r>
    </w:p>
    <w:p>
      <w:pPr>
        <w:spacing w:line="600" w:lineRule="exact"/>
        <w:ind w:firstLine="640" w:firstLineChars="200"/>
        <w:rPr>
          <w:rFonts w:ascii="仿宋_GB2312" w:hAnsi="宋体" w:eastAsia="仿宋_GB2312" w:cs="宋体"/>
          <w:color w:val="auto"/>
          <w:kern w:val="0"/>
          <w:sz w:val="32"/>
          <w:szCs w:val="32"/>
        </w:rPr>
      </w:pPr>
      <w:r>
        <w:rPr>
          <w:rFonts w:hint="eastAsia" w:ascii="仿宋_GB2312" w:hAnsi="仿宋" w:eastAsia="仿宋_GB2312"/>
          <w:color w:val="auto"/>
          <w:sz w:val="32"/>
          <w:szCs w:val="32"/>
        </w:rPr>
        <w:t>2022年，民建北京市委</w:t>
      </w:r>
      <w:r>
        <w:rPr>
          <w:rFonts w:hint="eastAsia" w:ascii="仿宋_GB2312" w:hAnsi="仿宋" w:eastAsia="仿宋_GB2312"/>
          <w:color w:val="auto"/>
          <w:sz w:val="32"/>
          <w:szCs w:val="32"/>
          <w:lang w:eastAsia="zh-CN"/>
        </w:rPr>
        <w:t>在</w:t>
      </w:r>
      <w:r>
        <w:rPr>
          <w:rFonts w:hint="eastAsia" w:ascii="仿宋_GB2312" w:hAnsi="仿宋" w:eastAsia="仿宋_GB2312"/>
          <w:color w:val="auto"/>
          <w:sz w:val="32"/>
          <w:szCs w:val="32"/>
        </w:rPr>
        <w:t>服务乡村振兴中，按照“谋划有高度、保障有机制、工作有重点、措施有精度”的指导要求，助力定点帮扶地区巩固拓展脱贫攻坚成果，全面推进乡村振兴。深化帮扶品牌建设，完善“名誉户主”“爱心超市”“村企联建”等结对帮扶机制，发挥同心圆公益基金作用，对丰宁、黔西直接投入帮扶资金（含物资）783万元，对门头沟、平谷引入帮扶资金1.2亿元；消费帮</w:t>
      </w:r>
      <w:r>
        <w:rPr>
          <w:rFonts w:hint="eastAsia" w:ascii="仿宋_GB2312" w:hAnsi="宋体" w:eastAsia="仿宋_GB2312" w:cs="宋体"/>
          <w:color w:val="auto"/>
          <w:kern w:val="0"/>
          <w:sz w:val="32"/>
          <w:szCs w:val="32"/>
        </w:rPr>
        <w:t>扶金额1303万元。</w:t>
      </w:r>
    </w:p>
    <w:p>
      <w:pPr>
        <w:spacing w:line="60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援港抗疫工作中，各级组织和会员积极参与，帮助香港同胞纾危解困；多方筹措物资，克服困难千里驰援上海。积极投身首都统一战线同心抗疫行动，全面动员、全力参与、全员担当，凝心聚力守护首都。截至2022年6月，全市各级组织和广大会员为抗疫捐款捐物近2700万元，会员企业为商户减免房租2000万元。</w:t>
      </w:r>
    </w:p>
    <w:p>
      <w:pPr>
        <w:spacing w:line="600" w:lineRule="exact"/>
        <w:ind w:left="105" w:leftChars="50" w:firstLine="480" w:firstLineChars="15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2.社会效益</w:t>
      </w:r>
    </w:p>
    <w:p>
      <w:pPr>
        <w:spacing w:line="60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民建北京市委在民建中央和中共北京市委的领导下，围绕中心、服务大局，始终与中共北京市委风雨同舟、同心同德、共同奋斗，为推进首都经济社会发展作出了重要贡献。民建市委充分发挥密切联系经济界的特色优势，找准履职尽责的切入点和突破口，扬优势、促创新、补短板，提出具有战略性、前瞻性、可操作性的意见建议。</w:t>
      </w:r>
      <w:r>
        <w:rPr>
          <w:rFonts w:hint="eastAsia" w:ascii="仿宋_GB2312" w:hAnsi="仿宋" w:eastAsia="仿宋_GB2312"/>
          <w:color w:val="auto"/>
          <w:sz w:val="32"/>
          <w:szCs w:val="32"/>
        </w:rPr>
        <w:t>按照“大参政聚合力，参大政助发展”的工作理念，围绕银发经济发展，大变革时代的城市就业与发展，促进“专精特新”企业高质量发展，职业教育发展的机遇、困境与前景等主题召开一系列研讨会，为经济社会平稳健康发展献计出力。召集会内专家学者就政府工作报告提出建议，为党委政府科学民主决策提供参考。</w:t>
      </w:r>
      <w:r>
        <w:rPr>
          <w:rFonts w:hint="eastAsia" w:ascii="仿宋_GB2312" w:hAnsi="仿宋" w:eastAsia="仿宋_GB2312"/>
          <w:color w:val="auto"/>
          <w:sz w:val="32"/>
          <w:szCs w:val="32"/>
          <w:lang w:eastAsia="zh-CN"/>
        </w:rPr>
        <w:t>开展民主监督工作，</w:t>
      </w:r>
      <w:r>
        <w:rPr>
          <w:rFonts w:hint="eastAsia" w:ascii="仿宋_GB2312" w:hAnsi="仿宋" w:eastAsia="仿宋_GB2312"/>
          <w:color w:val="auto"/>
          <w:sz w:val="32"/>
          <w:szCs w:val="32"/>
        </w:rPr>
        <w:t>实地考察丰台区政务服务中心、南中轴国际文化科技园等地，听取丰台区发改委、区规自分局、南中轴地区建设办公室的专题汇报，委托中共区委统战部就监督报告向区相关部门征求意见，最终形成《关于打造南中轴“文化之花”体验区的建议》，助推丰台区高质量发展。</w:t>
      </w:r>
    </w:p>
    <w:p>
      <w:pPr>
        <w:spacing w:line="600" w:lineRule="exact"/>
        <w:ind w:left="105" w:leftChars="50" w:firstLine="480" w:firstLineChars="15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3.环境效益</w:t>
      </w:r>
    </w:p>
    <w:p>
      <w:pPr>
        <w:spacing w:line="600" w:lineRule="exact"/>
        <w:ind w:left="105" w:leftChars="50" w:firstLine="480" w:firstLineChars="15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lang w:val="zh-TW"/>
        </w:rPr>
        <w:t>未涉及。</w:t>
      </w:r>
    </w:p>
    <w:p>
      <w:pPr>
        <w:spacing w:line="600" w:lineRule="exact"/>
        <w:ind w:left="105" w:leftChars="50" w:firstLine="480" w:firstLineChars="15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4.可持续性影响</w:t>
      </w:r>
    </w:p>
    <w:p>
      <w:pPr>
        <w:spacing w:line="60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s="仿宋_GB2312"/>
          <w:color w:val="auto"/>
          <w:kern w:val="0"/>
          <w:sz w:val="32"/>
          <w:szCs w:val="32"/>
        </w:rPr>
        <w:t>2022年是换届之年，民建北京市各级组织和广大会员深化政治交接、弘扬优良传统，一批政治坚定、年富力强的</w:t>
      </w:r>
      <w:r>
        <w:rPr>
          <w:rFonts w:hint="eastAsia" w:ascii="仿宋_GB2312" w:hAnsi="仿宋_GB2312" w:eastAsia="仿宋_GB2312" w:cs="仿宋_GB2312"/>
          <w:color w:val="auto"/>
          <w:kern w:val="0"/>
          <w:sz w:val="32"/>
          <w:szCs w:val="32"/>
          <w:lang w:eastAsia="zh-CN"/>
        </w:rPr>
        <w:t>会员</w:t>
      </w:r>
      <w:r>
        <w:rPr>
          <w:rFonts w:hint="eastAsia" w:ascii="仿宋_GB2312" w:hAnsi="仿宋_GB2312" w:eastAsia="仿宋_GB2312" w:cs="仿宋_GB2312"/>
          <w:color w:val="auto"/>
          <w:kern w:val="0"/>
          <w:sz w:val="32"/>
          <w:szCs w:val="32"/>
        </w:rPr>
        <w:t>进入领导班子，切实肩负起建设高水平新时代中国特色社会主义参政党的责任与担当，未来五年，民建北京市委将巩固自身建设成效，聚焦中共北京市委、市政府重大决策部署和首都经济社会发展重大问题，深入调查研究，积极建言献策，为助推新时代首都高质量发展贡献智慧和力量。</w:t>
      </w:r>
    </w:p>
    <w:p>
      <w:pPr>
        <w:spacing w:line="600" w:lineRule="exact"/>
        <w:ind w:left="105" w:leftChars="50" w:firstLine="480" w:firstLineChars="15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5.服务对象</w:t>
      </w:r>
      <w:r>
        <w:rPr>
          <w:rFonts w:ascii="仿宋_GB2312" w:hAnsi="宋体" w:eastAsia="仿宋_GB2312" w:cs="宋体"/>
          <w:color w:val="auto"/>
          <w:kern w:val="0"/>
          <w:sz w:val="32"/>
          <w:szCs w:val="32"/>
        </w:rPr>
        <w:t>满意度</w:t>
      </w:r>
    </w:p>
    <w:p>
      <w:pPr>
        <w:widowControl/>
        <w:spacing w:line="560" w:lineRule="exact"/>
        <w:ind w:firstLine="640" w:firstLineChars="200"/>
        <w:rPr>
          <w:rFonts w:ascii="黑体" w:hAnsi="黑体" w:eastAsia="黑体" w:cs="宋体"/>
          <w:color w:val="auto"/>
          <w:kern w:val="0"/>
          <w:sz w:val="32"/>
          <w:szCs w:val="32"/>
        </w:rPr>
      </w:pPr>
      <w:r>
        <w:rPr>
          <w:rFonts w:hint="eastAsia" w:ascii="仿宋_GB2312" w:hAnsi="仿宋" w:eastAsia="仿宋_GB2312"/>
          <w:color w:val="auto"/>
          <w:sz w:val="32"/>
          <w:szCs w:val="32"/>
        </w:rPr>
        <w:t>2022年民建北京市委牢牢把握新时代新征程的使命任务，发挥民建联系经济界的特色优势，坚持“围绕中心、服务大局、发挥优势、全面履职”，为推动新时代首都发展建真言、谋良策、出实招。市委会获得民建中央参政议政工作先进单位一等奖。上报社情民意信息中7篇获市级以上领导批示，获得民建中央社情民意信息工作先进单位一等奖。2篇建议被中央统战部采用，7篇建言专报获中共北京市委主要领导批示。两个提案获市政协年度优秀提案。</w:t>
      </w:r>
      <w:r>
        <w:rPr>
          <w:rFonts w:hint="eastAsia" w:ascii="仿宋_GB2312" w:hAnsi="仿宋_GB2312" w:eastAsia="仿宋_GB2312" w:cs="仿宋_GB2312"/>
          <w:sz w:val="32"/>
          <w:szCs w:val="32"/>
        </w:rPr>
        <w:t>市委会获得民建全国省级组织</w:t>
      </w:r>
      <w:r>
        <w:rPr>
          <w:rFonts w:hint="eastAsia" w:ascii="仿宋_GB2312" w:hAnsi="仿宋_GB2312" w:eastAsia="仿宋_GB2312" w:cs="仿宋_GB2312"/>
          <w:bCs/>
          <w:kern w:val="0"/>
          <w:sz w:val="32"/>
          <w:szCs w:val="32"/>
          <w:lang w:val="zh-CN"/>
        </w:rPr>
        <w:t>社会服务工作优秀单位，</w:t>
      </w:r>
      <w:r>
        <w:rPr>
          <w:rFonts w:hint="eastAsia" w:ascii="仿宋_GB2312" w:hAnsi="仿宋_GB2312" w:eastAsia="仿宋_GB2312" w:cs="仿宋_GB2312"/>
          <w:sz w:val="32"/>
          <w:szCs w:val="32"/>
        </w:rPr>
        <w:t>32名个人、5个集体荣获民建中央定点帮扶工作先进荣誉称号。</w:t>
      </w:r>
    </w:p>
    <w:p>
      <w:pPr>
        <w:spacing w:line="600" w:lineRule="exact"/>
        <w:ind w:left="105" w:leftChars="50" w:firstLine="480" w:firstLineChars="150"/>
        <w:rPr>
          <w:rFonts w:ascii="黑体" w:hAnsi="黑体" w:eastAsia="黑体" w:cs="宋体"/>
          <w:color w:val="auto"/>
          <w:kern w:val="0"/>
          <w:sz w:val="32"/>
          <w:szCs w:val="32"/>
        </w:rPr>
      </w:pPr>
      <w:r>
        <w:rPr>
          <w:rFonts w:hint="eastAsia" w:ascii="黑体" w:hAnsi="黑体" w:eastAsia="黑体" w:cs="宋体"/>
          <w:color w:val="auto"/>
          <w:kern w:val="0"/>
          <w:sz w:val="32"/>
          <w:szCs w:val="32"/>
        </w:rPr>
        <w:t>四</w:t>
      </w:r>
      <w:r>
        <w:rPr>
          <w:rFonts w:ascii="黑体" w:hAnsi="黑体" w:eastAsia="黑体" w:cs="宋体"/>
          <w:color w:val="auto"/>
          <w:kern w:val="0"/>
          <w:sz w:val="32"/>
          <w:szCs w:val="32"/>
        </w:rPr>
        <w:t>、预算管理</w:t>
      </w:r>
      <w:r>
        <w:rPr>
          <w:rFonts w:hint="eastAsia" w:ascii="黑体" w:hAnsi="黑体" w:eastAsia="黑体" w:cs="宋体"/>
          <w:color w:val="auto"/>
          <w:kern w:val="0"/>
          <w:sz w:val="32"/>
          <w:szCs w:val="32"/>
        </w:rPr>
        <w:t>情况分</w:t>
      </w:r>
      <w:r>
        <w:rPr>
          <w:rFonts w:ascii="黑体" w:hAnsi="黑体" w:eastAsia="黑体" w:cs="宋体"/>
          <w:color w:val="auto"/>
          <w:kern w:val="0"/>
          <w:sz w:val="32"/>
          <w:szCs w:val="32"/>
        </w:rPr>
        <w:t>析</w:t>
      </w:r>
    </w:p>
    <w:p>
      <w:pPr>
        <w:spacing w:line="600" w:lineRule="exact"/>
        <w:ind w:left="105" w:leftChars="50" w:firstLine="480" w:firstLineChars="150"/>
        <w:rPr>
          <w:rFonts w:ascii="楷体_GB2312" w:eastAsia="楷体_GB2312"/>
          <w:color w:val="auto"/>
          <w:sz w:val="32"/>
          <w:szCs w:val="32"/>
        </w:rPr>
      </w:pPr>
      <w:r>
        <w:rPr>
          <w:rFonts w:hint="eastAsia" w:ascii="楷体_GB2312" w:eastAsia="楷体_GB2312"/>
          <w:color w:val="auto"/>
          <w:sz w:val="32"/>
          <w:szCs w:val="32"/>
        </w:rPr>
        <w:t>（一）财务管理</w:t>
      </w:r>
    </w:p>
    <w:p>
      <w:pPr>
        <w:spacing w:line="600" w:lineRule="exact"/>
        <w:ind w:firstLine="640" w:firstLineChars="200"/>
        <w:rPr>
          <w:rFonts w:ascii="仿宋" w:hAnsi="仿宋" w:eastAsia="仿宋"/>
          <w:color w:val="auto"/>
          <w:sz w:val="32"/>
          <w:szCs w:val="32"/>
          <w:shd w:val="clear" w:color="auto" w:fill="FFFFFF"/>
        </w:rPr>
      </w:pPr>
      <w:r>
        <w:rPr>
          <w:rFonts w:hint="eastAsia" w:ascii="仿宋" w:hAnsi="仿宋" w:eastAsia="仿宋"/>
          <w:color w:val="auto"/>
          <w:sz w:val="32"/>
          <w:szCs w:val="32"/>
          <w:shd w:val="clear" w:color="auto" w:fill="FFFFFF"/>
        </w:rPr>
        <w:t>1.财务管理制度健全性</w:t>
      </w:r>
    </w:p>
    <w:p>
      <w:pPr>
        <w:spacing w:line="600" w:lineRule="exact"/>
        <w:ind w:firstLine="640" w:firstLineChars="200"/>
        <w:rPr>
          <w:rFonts w:ascii="仿宋" w:hAnsi="仿宋" w:eastAsia="仿宋"/>
          <w:color w:val="auto"/>
          <w:sz w:val="32"/>
          <w:szCs w:val="32"/>
          <w:shd w:val="clear" w:color="auto" w:fill="FFFFFF"/>
        </w:rPr>
      </w:pPr>
      <w:r>
        <w:rPr>
          <w:rFonts w:hint="eastAsia" w:ascii="仿宋" w:hAnsi="仿宋" w:eastAsia="仿宋"/>
          <w:color w:val="auto"/>
          <w:sz w:val="32"/>
          <w:szCs w:val="32"/>
          <w:shd w:val="clear" w:color="auto" w:fill="FFFFFF"/>
        </w:rPr>
        <w:t>民建北京市委注重自身建设，制定了财务管理制度，编制了内控管理手册，通过内控管理，在资金审批、预算管理、经费支出、会计核算、资产管理、政府采购等方面对单位经济业务活动和财务管理进行指导、规范、控制和监督，保障日常工作有章可循、稳步推进。</w:t>
      </w:r>
    </w:p>
    <w:p>
      <w:pPr>
        <w:spacing w:line="600" w:lineRule="exact"/>
        <w:ind w:left="105" w:leftChars="50" w:firstLine="480" w:firstLineChars="15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2.资金使用合规性和安全性</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为确保财政资金使用规范、安全、高效，在资金使用和管理上，严格遵守财经纪律和各项财务管理制度规定，坚持收支平衡原则，量入为出，坚决杜绝无预算、超预算支出行为。资金拨付审批程序完整规范，资金使用安全合规。项目资金严格实行专款专用、单独核算，严禁截留、挪用和超批复内容使用资金，确保项目经费支出合规。</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3.会计基础信息完善性</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严格执行政府会计准则和政府会计制度规定。按照政府会计准则及制度设置会计科目，进行日常会计核算，编制财务会计报表和部门决算报表，会计基础信息较为完善。</w:t>
      </w:r>
    </w:p>
    <w:p>
      <w:pPr>
        <w:spacing w:line="600" w:lineRule="exact"/>
        <w:ind w:left="105" w:leftChars="50" w:firstLine="480" w:firstLineChars="150"/>
        <w:rPr>
          <w:rFonts w:ascii="楷体_GB2312" w:eastAsia="楷体_GB2312"/>
          <w:color w:val="auto"/>
          <w:sz w:val="32"/>
          <w:szCs w:val="32"/>
        </w:rPr>
      </w:pPr>
      <w:r>
        <w:rPr>
          <w:rFonts w:hint="eastAsia" w:ascii="楷体_GB2312" w:eastAsia="楷体_GB2312"/>
          <w:color w:val="auto"/>
          <w:sz w:val="32"/>
          <w:szCs w:val="32"/>
        </w:rPr>
        <w:t>（二）资产管理</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根据《行政事业性国有资产管理条例》《行政单位国有资产管理暂行办法》以及北京市财政局相关规定，制定了固定资产管理办法，规范和加强各处室资产管理工作，定期维护行政事业资产管理信息系统中的资产基础信息，每年进行资产盘点，摸清固定资产底数，做到账实相符，维护了国有资产的安全完整、合理配置和有效利用。</w:t>
      </w:r>
    </w:p>
    <w:p>
      <w:pPr>
        <w:spacing w:line="600" w:lineRule="exact"/>
        <w:ind w:left="105" w:leftChars="50" w:firstLine="480" w:firstLineChars="150"/>
        <w:rPr>
          <w:rFonts w:hint="eastAsia" w:ascii="楷体_GB2312" w:eastAsia="楷体_GB2312"/>
          <w:color w:val="auto"/>
          <w:sz w:val="32"/>
          <w:szCs w:val="32"/>
        </w:rPr>
      </w:pPr>
      <w:r>
        <w:rPr>
          <w:rFonts w:hint="eastAsia" w:ascii="楷体_GB2312" w:eastAsia="楷体_GB2312"/>
          <w:color w:val="auto"/>
          <w:sz w:val="32"/>
          <w:szCs w:val="32"/>
        </w:rPr>
        <w:t>（三）绩效管理</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根据北京市财政局的要求，</w:t>
      </w:r>
      <w:r>
        <w:rPr>
          <w:rFonts w:hint="eastAsia" w:ascii="仿宋_GB2312" w:hAnsi="仿宋_GB2312" w:eastAsia="仿宋_GB2312" w:cs="仿宋_GB2312"/>
          <w:color w:val="auto"/>
          <w:sz w:val="32"/>
          <w:szCs w:val="32"/>
          <w:shd w:val="clear" w:color="auto" w:fill="FFFFFF"/>
          <w:lang w:val="en-US" w:eastAsia="zh-CN"/>
        </w:rPr>
        <w:t>2022年度</w:t>
      </w:r>
      <w:r>
        <w:rPr>
          <w:rFonts w:hint="eastAsia" w:ascii="仿宋_GB2312" w:hAnsi="仿宋_GB2312" w:eastAsia="仿宋_GB2312" w:cs="仿宋_GB2312"/>
          <w:color w:val="auto"/>
          <w:sz w:val="32"/>
          <w:szCs w:val="32"/>
          <w:shd w:val="clear" w:color="auto" w:fill="FFFFFF"/>
        </w:rPr>
        <w:t>对纳入202</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年部门预算管理的所有填报绩效目标的项目开展绩效自评工作；组织对纳入绩效管理的所有项目上半年执行情况实施绩效监控，对项目的绩效目标实现程度、项目预算资金拨款到位情况及预算执行情况，进行绩效监控，提高预算执行效力和项目资金使用效率。对偏离绩效目标项目和预期无效项目及时采取措施予以纠正。开展成本预算绩效分析，充分利用成本绩效分析形成的成果，强化支出标准对预算核定的约束作用。真正实现预算编制有目标、执行过程有监控、预算完成有评价，不断强化绩效理念并逐步融入预算编制、执行、公开全过程，将降成本、提效益的理念贯穿于各项工作当中。</w:t>
      </w:r>
    </w:p>
    <w:p>
      <w:pPr>
        <w:spacing w:line="600" w:lineRule="exact"/>
        <w:ind w:left="105" w:leftChars="50" w:firstLine="480" w:firstLineChars="150"/>
        <w:rPr>
          <w:rFonts w:hint="eastAsia" w:ascii="楷体_GB2312" w:eastAsia="楷体_GB2312"/>
          <w:color w:val="auto"/>
          <w:sz w:val="32"/>
          <w:szCs w:val="32"/>
        </w:rPr>
      </w:pPr>
      <w:r>
        <w:rPr>
          <w:rFonts w:hint="eastAsia" w:ascii="楷体_GB2312" w:eastAsia="楷体_GB2312"/>
          <w:color w:val="auto"/>
          <w:sz w:val="32"/>
          <w:szCs w:val="32"/>
        </w:rPr>
        <w:t>（四）结转结余率</w:t>
      </w:r>
    </w:p>
    <w:p>
      <w:pPr>
        <w:spacing w:line="600" w:lineRule="exact"/>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2022年民建北京市委全年预算数为206</w:t>
      </w:r>
      <w:r>
        <w:rPr>
          <w:rFonts w:hint="eastAsia" w:ascii="仿宋_GB2312" w:hAnsi="仿宋_GB2312" w:eastAsia="仿宋_GB2312" w:cs="仿宋_GB2312"/>
          <w:color w:val="auto"/>
          <w:sz w:val="32"/>
          <w:szCs w:val="32"/>
          <w:shd w:val="clear" w:color="auto" w:fill="FFFFFF"/>
          <w:lang w:val="en-US" w:eastAsia="zh-CN"/>
        </w:rPr>
        <w:t>6</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87</w:t>
      </w:r>
      <w:r>
        <w:rPr>
          <w:rFonts w:hint="eastAsia" w:ascii="仿宋_GB2312" w:hAnsi="仿宋_GB2312" w:eastAsia="仿宋_GB2312" w:cs="仿宋_GB2312"/>
          <w:color w:val="auto"/>
          <w:sz w:val="32"/>
          <w:szCs w:val="32"/>
          <w:shd w:val="clear" w:color="auto" w:fill="FFFFFF"/>
        </w:rPr>
        <w:t>元，年末结余结转金额为35.33万元，结余结转率1.</w:t>
      </w:r>
      <w:r>
        <w:rPr>
          <w:rFonts w:hint="eastAsia" w:ascii="仿宋_GB2312" w:hAnsi="仿宋_GB2312" w:eastAsia="仿宋_GB2312" w:cs="仿宋_GB2312"/>
          <w:color w:val="auto"/>
          <w:sz w:val="32"/>
          <w:szCs w:val="32"/>
          <w:shd w:val="clear" w:color="auto" w:fill="FFFFFF"/>
          <w:lang w:val="en-US" w:eastAsia="zh-CN"/>
        </w:rPr>
        <w:t>71</w:t>
      </w:r>
      <w:r>
        <w:rPr>
          <w:rFonts w:hint="eastAsia" w:ascii="仿宋_GB2312" w:hAnsi="仿宋_GB2312" w:eastAsia="仿宋_GB2312" w:cs="仿宋_GB2312"/>
          <w:color w:val="auto"/>
          <w:sz w:val="32"/>
          <w:szCs w:val="32"/>
          <w:shd w:val="clear" w:color="auto" w:fill="FFFFFF"/>
        </w:rPr>
        <w:t>%。本年结转结余率较上年3.21%减少1.5</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个百分点，说明民建北京市委资金统筹能力提高。</w:t>
      </w:r>
    </w:p>
    <w:p>
      <w:pPr>
        <w:spacing w:line="600" w:lineRule="exact"/>
        <w:ind w:left="105" w:leftChars="50" w:firstLine="480" w:firstLineChars="150"/>
        <w:rPr>
          <w:rFonts w:ascii="楷体_GB2312" w:eastAsia="楷体_GB2312"/>
          <w:color w:val="auto"/>
          <w:sz w:val="32"/>
          <w:szCs w:val="32"/>
        </w:rPr>
      </w:pPr>
      <w:r>
        <w:rPr>
          <w:rFonts w:hint="eastAsia" w:ascii="楷体_GB2312" w:eastAsia="楷体_GB2312"/>
          <w:color w:val="auto"/>
          <w:sz w:val="32"/>
          <w:szCs w:val="32"/>
        </w:rPr>
        <w:t>（五）部门</w:t>
      </w:r>
      <w:r>
        <w:rPr>
          <w:rFonts w:ascii="楷体_GB2312" w:eastAsia="楷体_GB2312"/>
          <w:color w:val="auto"/>
          <w:sz w:val="32"/>
          <w:szCs w:val="32"/>
        </w:rPr>
        <w:t>预决算差异率</w:t>
      </w:r>
    </w:p>
    <w:p>
      <w:pPr>
        <w:spacing w:line="600" w:lineRule="exact"/>
        <w:ind w:left="105" w:leftChars="50" w:firstLine="480" w:firstLineChars="15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2022年年初预算数为2047.71万元，决算数为</w:t>
      </w:r>
      <w:r>
        <w:rPr>
          <w:rFonts w:hint="eastAsia" w:ascii="仿宋_GB2312" w:hAnsi="仿宋_GB2312" w:eastAsia="仿宋_GB2312" w:cs="仿宋_GB2312"/>
          <w:color w:val="auto"/>
          <w:sz w:val="32"/>
          <w:szCs w:val="32"/>
          <w:shd w:val="clear" w:color="auto" w:fill="FFFFFF"/>
        </w:rPr>
        <w:t>2066.87</w:t>
      </w:r>
      <w:r>
        <w:rPr>
          <w:rFonts w:hint="eastAsia" w:ascii="仿宋_GB2312" w:hAnsi="仿宋_GB2312" w:eastAsia="仿宋_GB2312" w:cs="仿宋_GB2312"/>
          <w:color w:val="auto"/>
          <w:kern w:val="0"/>
          <w:sz w:val="32"/>
          <w:szCs w:val="32"/>
        </w:rPr>
        <w:t>万元，差额为19.16万元，部门预决算差异率0.94%，部门预决算差异率远低于市级平均差异率（28.3%），说明我部门预决算差异率控制情况较好，预算管理水平不断提升。</w:t>
      </w:r>
    </w:p>
    <w:p>
      <w:pPr>
        <w:spacing w:line="600" w:lineRule="exact"/>
        <w:ind w:left="105" w:leftChars="50" w:firstLine="480" w:firstLineChars="150"/>
        <w:rPr>
          <w:rFonts w:ascii="黑体" w:hAnsi="黑体" w:eastAsia="黑体"/>
          <w:color w:val="auto"/>
          <w:sz w:val="32"/>
          <w:szCs w:val="32"/>
        </w:rPr>
      </w:pPr>
      <w:r>
        <w:rPr>
          <w:rFonts w:hint="eastAsia" w:ascii="黑体" w:hAnsi="黑体" w:eastAsia="黑体"/>
          <w:color w:val="auto"/>
          <w:sz w:val="32"/>
          <w:szCs w:val="32"/>
        </w:rPr>
        <w:t>五、总体</w:t>
      </w:r>
      <w:r>
        <w:rPr>
          <w:rFonts w:ascii="黑体" w:hAnsi="黑体" w:eastAsia="黑体"/>
          <w:color w:val="auto"/>
          <w:sz w:val="32"/>
          <w:szCs w:val="32"/>
        </w:rPr>
        <w:t>评价结论</w:t>
      </w:r>
    </w:p>
    <w:p>
      <w:pPr>
        <w:spacing w:line="600" w:lineRule="exact"/>
        <w:ind w:left="105" w:leftChars="50" w:firstLine="480" w:firstLineChars="150"/>
        <w:rPr>
          <w:rFonts w:ascii="楷体_GB2312" w:eastAsia="楷体_GB2312"/>
          <w:color w:val="auto"/>
          <w:sz w:val="32"/>
          <w:szCs w:val="32"/>
        </w:rPr>
      </w:pPr>
      <w:r>
        <w:rPr>
          <w:rFonts w:hint="eastAsia" w:ascii="楷体_GB2312" w:eastAsia="楷体_GB2312"/>
          <w:color w:val="auto"/>
          <w:sz w:val="32"/>
          <w:szCs w:val="32"/>
        </w:rPr>
        <w:t>（一）评价</w:t>
      </w:r>
      <w:r>
        <w:rPr>
          <w:rFonts w:ascii="楷体_GB2312" w:eastAsia="楷体_GB2312"/>
          <w:color w:val="auto"/>
          <w:sz w:val="32"/>
          <w:szCs w:val="32"/>
        </w:rPr>
        <w:t>得分</w:t>
      </w:r>
      <w:r>
        <w:rPr>
          <w:rFonts w:hint="eastAsia" w:ascii="楷体_GB2312" w:eastAsia="楷体_GB2312"/>
          <w:color w:val="auto"/>
          <w:sz w:val="32"/>
          <w:szCs w:val="32"/>
        </w:rPr>
        <w:t>情况</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2022年整体绩效评价指标体系评分，其中当年预算执行情况20分，整体绩效目标实现情况60分，预算管理情况17.4分。</w:t>
      </w:r>
    </w:p>
    <w:p>
      <w:pPr>
        <w:spacing w:line="600" w:lineRule="exact"/>
        <w:ind w:left="105" w:leftChars="50" w:firstLine="480" w:firstLineChars="150"/>
        <w:rPr>
          <w:rFonts w:ascii="楷体_GB2312" w:eastAsia="楷体_GB2312"/>
          <w:color w:val="auto"/>
          <w:sz w:val="32"/>
          <w:szCs w:val="32"/>
        </w:rPr>
      </w:pPr>
      <w:r>
        <w:rPr>
          <w:rFonts w:hint="eastAsia" w:ascii="楷体_GB2312" w:eastAsia="楷体_GB2312"/>
          <w:color w:val="auto"/>
          <w:sz w:val="32"/>
          <w:szCs w:val="32"/>
        </w:rPr>
        <w:t>（二）存在的问题及原因分析</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部门整体支出情况较好，预算执行率达到98.</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rPr>
        <w:t>%，全面完成预算目标，财政资金得到有效利用。但是部门绩效目标不够细化，部门整体绩效目标设定主要依据为部门职责和年度重点工作任务，整体绩效目标设定的科学性、明确性有待进一步提高。指标量化不够，如质量指标和</w:t>
      </w:r>
      <w:r>
        <w:rPr>
          <w:rFonts w:hint="eastAsia" w:ascii="仿宋_GB2312" w:hAnsi="仿宋_GB2312" w:eastAsia="仿宋_GB2312" w:cs="仿宋_GB2312"/>
          <w:color w:val="auto"/>
          <w:sz w:val="32"/>
          <w:szCs w:val="32"/>
          <w:lang w:val="en-US" w:eastAsia="zh-CN"/>
        </w:rPr>
        <w:t>效益</w:t>
      </w:r>
      <w:r>
        <w:rPr>
          <w:rFonts w:hint="eastAsia" w:ascii="仿宋_GB2312" w:hAnsi="仿宋_GB2312" w:eastAsia="仿宋_GB2312" w:cs="仿宋_GB2312"/>
          <w:color w:val="auto"/>
          <w:sz w:val="32"/>
          <w:szCs w:val="32"/>
        </w:rPr>
        <w:t>指标</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量化</w:t>
      </w:r>
      <w:r>
        <w:rPr>
          <w:rFonts w:hint="eastAsia" w:ascii="仿宋_GB2312" w:hAnsi="仿宋_GB2312" w:eastAsia="仿宋_GB2312" w:cs="仿宋_GB2312"/>
          <w:color w:val="auto"/>
          <w:sz w:val="32"/>
          <w:szCs w:val="32"/>
          <w:lang w:eastAsia="zh-CN"/>
        </w:rPr>
        <w:t>与</w:t>
      </w:r>
      <w:r>
        <w:rPr>
          <w:rFonts w:hint="eastAsia" w:ascii="仿宋_GB2312" w:hAnsi="仿宋_GB2312" w:eastAsia="仿宋_GB2312" w:cs="仿宋_GB2312"/>
          <w:color w:val="auto"/>
          <w:sz w:val="32"/>
          <w:szCs w:val="32"/>
        </w:rPr>
        <w:t>细化不足，不利于后期考核。由于工作性质的原因，部分项目绩效目标设定存在困难。</w:t>
      </w:r>
    </w:p>
    <w:p>
      <w:pPr>
        <w:spacing w:line="600" w:lineRule="exact"/>
        <w:ind w:firstLine="640" w:firstLineChars="200"/>
        <w:rPr>
          <w:rFonts w:ascii="仿宋_GB2312" w:hAnsi="宋体" w:eastAsia="仿宋_GB2312" w:cs="宋体"/>
          <w:color w:val="auto"/>
          <w:kern w:val="0"/>
          <w:sz w:val="32"/>
          <w:szCs w:val="32"/>
        </w:rPr>
      </w:pPr>
      <w:r>
        <w:rPr>
          <w:rFonts w:hint="eastAsia" w:ascii="黑体" w:hAnsi="黑体" w:eastAsia="黑体" w:cs="宋体"/>
          <w:color w:val="auto"/>
          <w:kern w:val="0"/>
          <w:sz w:val="32"/>
          <w:szCs w:val="32"/>
        </w:rPr>
        <w:t>六、措施建议</w:t>
      </w:r>
    </w:p>
    <w:p>
      <w:pPr>
        <w:spacing w:line="600" w:lineRule="exact"/>
        <w:ind w:firstLine="640" w:firstLineChars="200"/>
        <w:rPr>
          <w:rFonts w:hint="eastAsia" w:ascii="仿宋_GB2312" w:hAnsi="仿宋_GB2312" w:eastAsia="仿宋_GB2312" w:cs="仿宋_GB2312"/>
          <w:color w:val="auto"/>
          <w:sz w:val="32"/>
          <w:szCs w:val="32"/>
        </w:rPr>
      </w:pPr>
      <w:bookmarkStart w:id="0" w:name="_Toc103006301"/>
      <w:r>
        <w:rPr>
          <w:rFonts w:hint="eastAsia" w:ascii="仿宋_GB2312" w:hAnsi="仿宋_GB2312" w:eastAsia="仿宋_GB2312" w:cs="仿宋_GB2312"/>
          <w:color w:val="auto"/>
          <w:sz w:val="32"/>
          <w:szCs w:val="32"/>
        </w:rPr>
        <w:t>全面优化部门预算管理，提高预算管理水平。准确把握年度的工作重点，对预算资金合理排序，统筹兼顾，保障重点，增强预算资金与工作需求的匹配程度；全面提高部门预算编制工作的科学化精细化水平</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打破惯性思维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开创预算管理工作的新篇章</w:t>
      </w:r>
      <w:r>
        <w:rPr>
          <w:rFonts w:hint="eastAsia" w:ascii="仿宋_GB2312" w:hAnsi="仿宋_GB2312" w:eastAsia="仿宋_GB2312" w:cs="仿宋_GB2312"/>
          <w:color w:val="auto"/>
          <w:sz w:val="32"/>
          <w:szCs w:val="32"/>
        </w:rPr>
        <w:t>。</w:t>
      </w:r>
    </w:p>
    <w:p>
      <w:pPr>
        <w:pStyle w:val="2"/>
        <w:rPr>
          <w:rFonts w:hint="eastAsia"/>
        </w:rPr>
      </w:pPr>
      <w:bookmarkStart w:id="1" w:name="_GoBack"/>
      <w:bookmarkEnd w:id="1"/>
    </w:p>
    <w:bookmarkEnd w:id="0"/>
    <w:tbl>
      <w:tblPr>
        <w:tblW w:w="141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8"/>
        <w:gridCol w:w="674"/>
        <w:gridCol w:w="1388"/>
        <w:gridCol w:w="204"/>
        <w:gridCol w:w="996"/>
        <w:gridCol w:w="142"/>
        <w:gridCol w:w="1462"/>
        <w:gridCol w:w="778"/>
        <w:gridCol w:w="848"/>
        <w:gridCol w:w="2926"/>
        <w:gridCol w:w="3578"/>
      </w:tblGrid>
      <w:tr>
        <w:trPr>
          <w:cantSplit/>
          <w:trHeight w:val="90" w:hRule="atLeast"/>
        </w:trPr>
        <w:tc>
          <w:tcPr>
            <w:tcW w:w="14174" w:type="dxa"/>
            <w:gridSpan w:val="11"/>
            <w:tcBorders>
              <w:top w:val="nil"/>
              <w:left w:val="nil"/>
              <w:bottom w:val="single" w:color="auto" w:sz="4" w:space="0"/>
              <w:right w:val="nil"/>
            </w:tcBorders>
            <w:vAlign w:val="bottom"/>
          </w:tcPr>
          <w:p>
            <w:pPr>
              <w:widowControl/>
              <w:jc w:val="center"/>
              <w:rPr>
                <w:rFonts w:ascii="方正小标宋简体" w:hAnsi="黑体" w:eastAsia="方正小标宋简体" w:cs="宋体"/>
                <w:color w:val="000000"/>
                <w:kern w:val="0"/>
                <w:sz w:val="44"/>
                <w:szCs w:val="44"/>
                <w:highlight w:val="yellow"/>
              </w:rPr>
            </w:pPr>
            <w:r>
              <w:rPr>
                <w:rFonts w:hint="eastAsia" w:ascii="方正小标宋简体" w:hAnsi="黑体" w:eastAsia="方正小标宋简体" w:cs="宋体"/>
                <w:color w:val="000000"/>
                <w:kern w:val="0"/>
                <w:sz w:val="44"/>
                <w:szCs w:val="44"/>
              </w:rPr>
              <w:t>2022年部门整体绩效评价指标体系评分表</w:t>
            </w:r>
          </w:p>
        </w:tc>
      </w:tr>
      <w:tr>
        <w:trPr>
          <w:cantSplit/>
          <w:trHeight w:val="470" w:hRule="atLeast"/>
        </w:trPr>
        <w:tc>
          <w:tcPr>
            <w:tcW w:w="14174" w:type="dxa"/>
            <w:gridSpan w:val="11"/>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rPr>
          <w:cantSplit/>
          <w:trHeight w:val="660" w:hRule="atLeast"/>
        </w:trPr>
        <w:tc>
          <w:tcPr>
            <w:tcW w:w="11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5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146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7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35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rPr>
          <w:cantSplit/>
          <w:trHeight w:val="630" w:hRule="atLeast"/>
        </w:trPr>
        <w:tc>
          <w:tcPr>
            <w:tcW w:w="1178"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15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206</w:t>
            </w:r>
            <w:r>
              <w:rPr>
                <w:rFonts w:hint="eastAsia" w:ascii="宋体" w:hAnsi="宋体" w:cs="宋体"/>
                <w:color w:val="000000"/>
                <w:kern w:val="0"/>
                <w:sz w:val="20"/>
                <w:szCs w:val="20"/>
                <w:lang w:val="en-US" w:eastAsia="zh-CN"/>
              </w:rPr>
              <w:t>6</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87</w:t>
            </w:r>
            <w:r>
              <w:rPr>
                <w:rFonts w:hint="eastAsia" w:ascii="宋体" w:hAnsi="宋体" w:cs="宋体"/>
                <w:color w:val="000000"/>
                <w:kern w:val="0"/>
                <w:sz w:val="20"/>
                <w:szCs w:val="20"/>
              </w:rPr>
              <w:t>　</w:t>
            </w:r>
          </w:p>
        </w:tc>
        <w:tc>
          <w:tcPr>
            <w:tcW w:w="113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2031.53　</w:t>
            </w:r>
          </w:p>
        </w:tc>
        <w:tc>
          <w:tcPr>
            <w:tcW w:w="146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98.</w:t>
            </w:r>
            <w:r>
              <w:rPr>
                <w:rFonts w:hint="eastAsia" w:ascii="宋体" w:hAnsi="宋体" w:cs="宋体"/>
                <w:color w:val="000000"/>
                <w:kern w:val="0"/>
                <w:sz w:val="20"/>
                <w:szCs w:val="20"/>
                <w:lang w:val="en-US" w:eastAsia="zh-CN"/>
              </w:rPr>
              <w:t>29</w:t>
            </w:r>
            <w:r>
              <w:rPr>
                <w:rFonts w:hint="eastAsia" w:ascii="宋体" w:hAnsi="宋体" w:cs="宋体"/>
                <w:color w:val="000000"/>
                <w:kern w:val="0"/>
                <w:sz w:val="20"/>
                <w:szCs w:val="20"/>
              </w:rPr>
              <w:t>%</w:t>
            </w:r>
          </w:p>
        </w:tc>
        <w:tc>
          <w:tcPr>
            <w:tcW w:w="77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84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19</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43</w:t>
            </w:r>
            <w:r>
              <w:rPr>
                <w:rFonts w:hint="eastAsia" w:ascii="宋体" w:hAnsi="宋体" w:cs="宋体"/>
                <w:color w:val="000000"/>
                <w:kern w:val="0"/>
                <w:sz w:val="20"/>
                <w:szCs w:val="20"/>
              </w:rPr>
              <w:t>　</w:t>
            </w:r>
          </w:p>
        </w:tc>
        <w:tc>
          <w:tcPr>
            <w:tcW w:w="292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3578"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rPr>
          <w:cantSplit/>
          <w:trHeight w:val="600"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15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1826.43　</w:t>
            </w:r>
          </w:p>
        </w:tc>
        <w:tc>
          <w:tcPr>
            <w:tcW w:w="113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1858.75　</w:t>
            </w:r>
          </w:p>
        </w:tc>
        <w:tc>
          <w:tcPr>
            <w:tcW w:w="146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7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61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1592"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221.28　</w:t>
            </w:r>
          </w:p>
        </w:tc>
        <w:tc>
          <w:tcPr>
            <w:tcW w:w="113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172.78　</w:t>
            </w:r>
          </w:p>
        </w:tc>
        <w:tc>
          <w:tcPr>
            <w:tcW w:w="1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2136"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159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3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4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7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29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479" w:hRule="atLeast"/>
        </w:trPr>
        <w:tc>
          <w:tcPr>
            <w:tcW w:w="14174" w:type="dxa"/>
            <w:gridSpan w:val="11"/>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rPr>
          <w:cantSplit/>
          <w:trHeight w:val="499" w:hRule="atLeast"/>
        </w:trPr>
        <w:tc>
          <w:tcPr>
            <w:tcW w:w="11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67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592"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138"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146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7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5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rPr>
          <w:cantSplit/>
          <w:trHeight w:val="1196" w:hRule="atLeast"/>
        </w:trPr>
        <w:tc>
          <w:tcPr>
            <w:tcW w:w="117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674" w:type="dxa"/>
            <w:vMerge w:val="restart"/>
            <w:tcBorders>
              <w:top w:val="single" w:color="auto" w:sz="4" w:space="0"/>
              <w:left w:val="nil"/>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1388"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形成调研报告</w:t>
            </w:r>
          </w:p>
        </w:tc>
        <w:tc>
          <w:tcPr>
            <w:tcW w:w="12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rPr>
              <w:t>≥</w:t>
            </w:r>
            <w:r>
              <w:rPr>
                <w:rFonts w:hint="eastAsia" w:ascii="宋体" w:hAnsi="宋体" w:cs="宋体"/>
                <w:kern w:val="0"/>
                <w:sz w:val="18"/>
                <w:szCs w:val="18"/>
                <w:lang w:val="en-US" w:eastAsia="zh-CN"/>
              </w:rPr>
              <w:t>10篇</w:t>
            </w:r>
          </w:p>
        </w:tc>
        <w:tc>
          <w:tcPr>
            <w:tcW w:w="160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12篇</w:t>
            </w:r>
          </w:p>
        </w:tc>
        <w:tc>
          <w:tcPr>
            <w:tcW w:w="778" w:type="dxa"/>
            <w:vMerge w:val="restart"/>
            <w:tcBorders>
              <w:top w:val="single" w:color="auto" w:sz="4" w:space="0"/>
              <w:left w:val="nil"/>
              <w:bottom w:val="single" w:color="auto" w:sz="4" w:space="0"/>
              <w:right w:val="single" w:color="auto" w:sz="4" w:space="0"/>
            </w:tcBorders>
            <w:vAlign w:val="center"/>
          </w:tcPr>
          <w:p>
            <w:pPr>
              <w:widowControl/>
              <w:jc w:val="center"/>
            </w:pPr>
          </w:p>
          <w:p>
            <w:pPr>
              <w:pStyle w:val="4"/>
              <w:rPr>
                <w:rFonts w:hint="eastAsia"/>
              </w:rPr>
            </w:pPr>
            <w:r>
              <w:rPr>
                <w:rFonts w:hint="eastAsia"/>
              </w:rPr>
              <w:t>2</w:t>
            </w:r>
            <w:r>
              <w:rPr>
                <w:rFonts w:hint="eastAsia"/>
                <w:lang w:val="en-US" w:eastAsia="zh-CN"/>
              </w:rPr>
              <w:t>30</w:t>
            </w:r>
            <w:r>
              <w:rPr>
                <w:rFonts w:hint="eastAsia"/>
              </w:rPr>
              <w:t>0</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ind w:firstLine="251" w:firstLineChars="0"/>
              <w:jc w:val="left"/>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30</w:t>
            </w:r>
          </w:p>
          <w:p>
            <w:pPr>
              <w:pStyle w:val="4"/>
              <w:rPr>
                <w:rFonts w:hint="default"/>
                <w:lang w:val="en-US" w:eastAsia="zh-CN"/>
              </w:rPr>
            </w:pP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　</w:t>
            </w:r>
          </w:p>
        </w:tc>
        <w:tc>
          <w:tcPr>
            <w:tcW w:w="292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3578"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rPr>
          <w:cantSplit/>
          <w:trHeight w:val="1130"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培训新会员人数</w:t>
            </w:r>
          </w:p>
        </w:tc>
        <w:tc>
          <w:tcPr>
            <w:tcW w:w="12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≥300人</w:t>
            </w:r>
          </w:p>
        </w:tc>
        <w:tc>
          <w:tcPr>
            <w:tcW w:w="160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300余人</w:t>
            </w:r>
          </w:p>
        </w:tc>
        <w:tc>
          <w:tcPr>
            <w:tcW w:w="778" w:type="dxa"/>
            <w:vMerge w:val="continue"/>
            <w:tcBorders>
              <w:top w:val="single" w:color="auto" w:sz="4" w:space="0"/>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1258"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开办新会员学习班</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=2次</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2次</w:t>
            </w:r>
          </w:p>
        </w:tc>
        <w:tc>
          <w:tcPr>
            <w:tcW w:w="778" w:type="dxa"/>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社情民意信息报送</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w:t>
            </w:r>
            <w:r>
              <w:rPr>
                <w:rFonts w:hint="eastAsia" w:ascii="宋体" w:hAnsi="宋体" w:cs="宋体"/>
                <w:kern w:val="0"/>
                <w:sz w:val="18"/>
                <w:szCs w:val="18"/>
                <w:lang w:val="en-US" w:eastAsia="zh-CN"/>
              </w:rPr>
              <w:t>200篇</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600余篇</w:t>
            </w:r>
          </w:p>
        </w:tc>
        <w:tc>
          <w:tcPr>
            <w:tcW w:w="778"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举办建华课堂</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=2次</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2次</w:t>
            </w:r>
          </w:p>
        </w:tc>
        <w:tc>
          <w:tcPr>
            <w:tcW w:w="778"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出版《北京民建》</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=12期</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12</w:t>
            </w:r>
            <w:r>
              <w:rPr>
                <w:rFonts w:hint="eastAsia" w:ascii="宋体" w:hAnsi="宋体" w:cs="宋体"/>
                <w:kern w:val="0"/>
                <w:sz w:val="18"/>
                <w:szCs w:val="18"/>
                <w:lang w:val="en-US" w:eastAsia="zh-CN"/>
              </w:rPr>
              <w:t>期</w:t>
            </w:r>
          </w:p>
        </w:tc>
        <w:tc>
          <w:tcPr>
            <w:tcW w:w="778"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完成市委重点理论研究课题</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=2篇</w:t>
            </w:r>
          </w:p>
          <w:p>
            <w:pPr>
              <w:widowControl/>
              <w:spacing w:line="240" w:lineRule="exact"/>
              <w:jc w:val="center"/>
              <w:rPr>
                <w:rFonts w:hint="eastAsia" w:ascii="宋体" w:hAnsi="宋体" w:eastAsia="宋体" w:cs="宋体"/>
                <w:kern w:val="0"/>
                <w:sz w:val="18"/>
                <w:szCs w:val="18"/>
                <w:lang w:val="en-US" w:eastAsia="zh-CN" w:bidi="ar-SA"/>
              </w:rPr>
            </w:pP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2篇</w:t>
            </w:r>
          </w:p>
        </w:tc>
        <w:tc>
          <w:tcPr>
            <w:tcW w:w="778"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参与定点帮扶</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default" w:ascii="宋体" w:hAnsi="宋体" w:cs="宋体"/>
                <w:kern w:val="0"/>
                <w:sz w:val="18"/>
                <w:szCs w:val="18"/>
                <w:lang w:val="en-US" w:eastAsia="zh-CN"/>
              </w:rPr>
              <w:t>≥</w:t>
            </w:r>
            <w:r>
              <w:rPr>
                <w:rFonts w:hint="eastAsia" w:ascii="宋体" w:hAnsi="宋体" w:cs="宋体"/>
                <w:kern w:val="0"/>
                <w:sz w:val="18"/>
                <w:szCs w:val="18"/>
                <w:lang w:val="en-US" w:eastAsia="zh-CN"/>
              </w:rPr>
              <w:t>200人次</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200人次以上</w:t>
            </w:r>
          </w:p>
        </w:tc>
        <w:tc>
          <w:tcPr>
            <w:tcW w:w="7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p>
        </w:tc>
        <w:tc>
          <w:tcPr>
            <w:tcW w:w="848" w:type="dxa"/>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18"/>
                <w:szCs w:val="18"/>
                <w:u w:val="none"/>
                <w:lang w:val="en-US" w:eastAsia="zh-CN" w:bidi="ar-SA"/>
              </w:rPr>
            </w:pPr>
            <w:r>
              <w:rPr>
                <w:rStyle w:val="9"/>
                <w:lang w:val="en-US" w:eastAsia="zh-CN"/>
              </w:rPr>
              <w:t>高质量完成理论研究课题，多渠道转化研究成果</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定性</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完成</w:t>
            </w:r>
          </w:p>
        </w:tc>
        <w:tc>
          <w:tcPr>
            <w:tcW w:w="7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p>
        </w:tc>
        <w:tc>
          <w:tcPr>
            <w:tcW w:w="848" w:type="dxa"/>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高质量完成各项机动任务</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定性</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完成</w:t>
            </w:r>
          </w:p>
        </w:tc>
        <w:tc>
          <w:tcPr>
            <w:tcW w:w="7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p>
        </w:tc>
        <w:tc>
          <w:tcPr>
            <w:tcW w:w="848" w:type="dxa"/>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年内完成换届工作</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定性</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完成</w:t>
            </w:r>
          </w:p>
        </w:tc>
        <w:tc>
          <w:tcPr>
            <w:tcW w:w="7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p>
        </w:tc>
        <w:tc>
          <w:tcPr>
            <w:tcW w:w="848" w:type="dxa"/>
            <w:tcBorders>
              <w:top w:val="nil"/>
              <w:left w:val="nil"/>
              <w:bottom w:val="single" w:color="auto" w:sz="4" w:space="0"/>
              <w:right w:val="nil"/>
            </w:tcBorders>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9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年内完成市财政局安排的各项财务工作</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定性</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完成</w:t>
            </w:r>
          </w:p>
        </w:tc>
        <w:tc>
          <w:tcPr>
            <w:tcW w:w="7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p>
        </w:tc>
        <w:tc>
          <w:tcPr>
            <w:tcW w:w="848" w:type="dxa"/>
            <w:tcBorders>
              <w:top w:val="nil"/>
              <w:left w:val="nil"/>
              <w:bottom w:val="single" w:color="auto" w:sz="4" w:space="0"/>
              <w:right w:val="nil"/>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675"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1388" w:type="dxa"/>
            <w:tcBorders>
              <w:top w:val="nil"/>
              <w:left w:val="nil"/>
              <w:bottom w:val="single" w:color="auto" w:sz="4" w:space="0"/>
              <w:right w:val="single" w:color="auto" w:sz="4" w:space="0"/>
            </w:tcBorders>
            <w:vAlign w:val="center"/>
          </w:tcPr>
          <w:p>
            <w:pPr>
              <w:widowControl/>
              <w:jc w:val="left"/>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rPr>
              <w:t>促进新一届民建市委的工作</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kern w:val="0"/>
                <w:sz w:val="18"/>
                <w:szCs w:val="18"/>
                <w:lang w:val="en-US" w:eastAsia="zh-CN"/>
              </w:rPr>
              <w:t>定性</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20"/>
                <w:szCs w:val="20"/>
              </w:rPr>
            </w:pPr>
            <w:r>
              <w:rPr>
                <w:rFonts w:hint="eastAsia" w:ascii="宋体" w:hAnsi="宋体" w:cs="宋体"/>
                <w:kern w:val="0"/>
                <w:sz w:val="18"/>
                <w:szCs w:val="18"/>
                <w:lang w:val="en-US" w:eastAsia="zh-CN" w:bidi="ar-SA"/>
              </w:rPr>
              <w:t>完成</w:t>
            </w:r>
          </w:p>
        </w:tc>
        <w:tc>
          <w:tcPr>
            <w:tcW w:w="778" w:type="dxa"/>
            <w:vMerge w:val="restart"/>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15</w:t>
            </w:r>
            <w:r>
              <w:rPr>
                <w:rFonts w:hint="eastAsia" w:ascii="宋体" w:hAnsi="宋体" w:cs="宋体"/>
                <w:color w:val="000000"/>
                <w:kern w:val="0"/>
                <w:sz w:val="20"/>
                <w:szCs w:val="20"/>
              </w:rPr>
              <w:t>　</w:t>
            </w:r>
          </w:p>
        </w:tc>
        <w:tc>
          <w:tcPr>
            <w:tcW w:w="2926"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3578" w:type="dxa"/>
            <w:vMerge w:val="restar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rPr>
          <w:cantSplit/>
          <w:trHeight w:val="2846"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为今后财务工作奠定基础</w:t>
            </w:r>
          </w:p>
        </w:tc>
        <w:tc>
          <w:tcPr>
            <w:tcW w:w="120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kern w:val="0"/>
                <w:sz w:val="18"/>
                <w:szCs w:val="18"/>
                <w:lang w:val="en-US" w:eastAsia="zh-CN"/>
              </w:rPr>
              <w:t>定性</w:t>
            </w:r>
          </w:p>
        </w:tc>
        <w:tc>
          <w:tcPr>
            <w:tcW w:w="160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20"/>
                <w:szCs w:val="20"/>
                <w:lang w:val="en-US" w:eastAsia="zh-CN" w:bidi="ar-SA"/>
              </w:rPr>
            </w:pPr>
            <w:r>
              <w:rPr>
                <w:rFonts w:hint="eastAsia" w:ascii="宋体" w:hAnsi="宋体" w:cs="宋体"/>
                <w:kern w:val="0"/>
                <w:sz w:val="18"/>
                <w:szCs w:val="18"/>
                <w:lang w:val="en-US" w:eastAsia="zh-CN" w:bidi="ar-SA"/>
              </w:rPr>
              <w:t>完成</w:t>
            </w:r>
          </w:p>
        </w:tc>
        <w:tc>
          <w:tcPr>
            <w:tcW w:w="7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15</w:t>
            </w:r>
            <w:r>
              <w:rPr>
                <w:rFonts w:hint="eastAsia" w:ascii="宋体" w:hAnsi="宋体" w:cs="宋体"/>
                <w:color w:val="000000"/>
                <w:kern w:val="0"/>
                <w:sz w:val="20"/>
                <w:szCs w:val="20"/>
              </w:rPr>
              <w:t>　</w:t>
            </w:r>
          </w:p>
        </w:tc>
        <w:tc>
          <w:tcPr>
            <w:tcW w:w="29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35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rPr>
          <w:cantSplit/>
          <w:trHeight w:val="487" w:hRule="atLeast"/>
        </w:trPr>
        <w:tc>
          <w:tcPr>
            <w:tcW w:w="14174" w:type="dxa"/>
            <w:gridSpan w:val="11"/>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rPr>
          <w:cantSplit/>
          <w:trHeight w:val="702" w:hRule="atLeast"/>
        </w:trPr>
        <w:tc>
          <w:tcPr>
            <w:tcW w:w="11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138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120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160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7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5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rPr>
          <w:cantSplit/>
          <w:trHeight w:val="1230" w:hRule="atLeast"/>
        </w:trPr>
        <w:tc>
          <w:tcPr>
            <w:tcW w:w="117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67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138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120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18"/>
                <w:szCs w:val="18"/>
              </w:rPr>
              <w:t>　财务制度是否健全</w:t>
            </w:r>
          </w:p>
        </w:tc>
        <w:tc>
          <w:tcPr>
            <w:tcW w:w="160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财务制度有《民建北京市委机关财务管理制度》、《民建北京市委</w:t>
            </w:r>
            <w:r>
              <w:rPr>
                <w:rFonts w:hint="eastAsia" w:ascii="宋体" w:hAnsi="宋体" w:cs="宋体"/>
                <w:color w:val="000000"/>
                <w:kern w:val="0"/>
                <w:sz w:val="20"/>
                <w:szCs w:val="20"/>
                <w:lang w:eastAsia="zh-CN"/>
              </w:rPr>
              <w:t>经费</w:t>
            </w:r>
            <w:r>
              <w:rPr>
                <w:rFonts w:hint="eastAsia" w:ascii="宋体" w:hAnsi="宋体" w:cs="宋体"/>
                <w:color w:val="000000"/>
                <w:kern w:val="0"/>
                <w:sz w:val="20"/>
                <w:szCs w:val="20"/>
              </w:rPr>
              <w:t>支出</w:t>
            </w:r>
            <w:r>
              <w:rPr>
                <w:rFonts w:hint="eastAsia" w:ascii="宋体" w:hAnsi="宋体" w:cs="宋体"/>
                <w:color w:val="000000"/>
                <w:kern w:val="0"/>
                <w:sz w:val="20"/>
                <w:szCs w:val="20"/>
                <w:lang w:eastAsia="zh-CN"/>
              </w:rPr>
              <w:t>管理办法》</w:t>
            </w:r>
            <w:r>
              <w:rPr>
                <w:rFonts w:hint="eastAsia" w:ascii="宋体" w:hAnsi="宋体" w:cs="宋体"/>
                <w:color w:val="000000"/>
                <w:kern w:val="0"/>
                <w:sz w:val="20"/>
                <w:szCs w:val="20"/>
              </w:rPr>
              <w:t>　</w:t>
            </w:r>
          </w:p>
        </w:tc>
        <w:tc>
          <w:tcPr>
            <w:tcW w:w="7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rPr>
          <w:cantSplit/>
          <w:trHeight w:val="2220" w:hRule="atLeast"/>
        </w:trPr>
        <w:tc>
          <w:tcPr>
            <w:tcW w:w="117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120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资金使用合规、安全　</w:t>
            </w:r>
          </w:p>
        </w:tc>
        <w:tc>
          <w:tcPr>
            <w:tcW w:w="160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资金的使用按照国家财经法规和财务管理制度的规定，金额较大开支执行三重一大制度，不存在截留、挤占、挪用情况，公务卡使用有相关的制度规定约束，预算资金整体规范运行。　</w:t>
            </w:r>
          </w:p>
        </w:tc>
        <w:tc>
          <w:tcPr>
            <w:tcW w:w="7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2　</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rPr>
          <w:cantSplit/>
          <w:trHeight w:val="410"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38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1200"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18"/>
                <w:szCs w:val="18"/>
              </w:rPr>
              <w:t>会计基础信息是否完整　</w:t>
            </w:r>
          </w:p>
        </w:tc>
        <w:tc>
          <w:tcPr>
            <w:tcW w:w="160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严格执行政府会计制度，对真实的会计信息进行核算，及时提供合法、真实、准确和完整的会计信息　　</w:t>
            </w:r>
          </w:p>
        </w:tc>
        <w:tc>
          <w:tcPr>
            <w:tcW w:w="7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292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357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rPr>
          <w:cantSplit/>
          <w:trHeight w:val="2220"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138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1200"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资产购置、处置、配置是否合理、规范</w:t>
            </w:r>
          </w:p>
        </w:tc>
        <w:tc>
          <w:tcPr>
            <w:tcW w:w="160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制定了资产管理办法，资产购置有计划，有预算，且在预算指标内进行采购，资产按照规定标准配置，按时盘点资产，保证资产的安全完整，报废资产按照规定流程执行报废手续，不存在出租出借资产行为。</w:t>
            </w:r>
          </w:p>
        </w:tc>
        <w:tc>
          <w:tcPr>
            <w:tcW w:w="7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3578"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rPr>
          <w:cantSplit/>
          <w:trHeight w:val="2160"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138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120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绩效信息是否经过整理汇总，并加以运用</w:t>
            </w:r>
          </w:p>
        </w:tc>
        <w:tc>
          <w:tcPr>
            <w:tcW w:w="1604"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能够按照预算绩效目标开展各项工作，绩效信息比较丰富，但分析运用尚需加强</w:t>
            </w:r>
          </w:p>
        </w:tc>
        <w:tc>
          <w:tcPr>
            <w:tcW w:w="77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8" w:type="dxa"/>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auto"/>
                <w:kern w:val="0"/>
                <w:sz w:val="20"/>
                <w:szCs w:val="20"/>
                <w:highlight w:val="none"/>
                <w:shd w:val="clear" w:color="auto" w:fill="auto"/>
                <w:lang w:val="en-US" w:eastAsia="zh-CN"/>
              </w:rPr>
              <w:t>3</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val="0"/>
                <w:bCs w:val="0"/>
                <w:color w:val="000000"/>
                <w:kern w:val="0"/>
                <w:sz w:val="18"/>
                <w:szCs w:val="18"/>
              </w:rPr>
              <w:t>绩效管理情况</w:t>
            </w:r>
            <w:r>
              <w:rPr>
                <w:rFonts w:hint="eastAsia" w:ascii="宋体" w:hAnsi="宋体" w:cs="宋体"/>
                <w:b/>
                <w:bCs/>
                <w:color w:val="000000"/>
                <w:kern w:val="0"/>
                <w:sz w:val="18"/>
                <w:szCs w:val="18"/>
              </w:rPr>
              <w:t>:</w:t>
            </w:r>
            <w:r>
              <w:rPr>
                <w:rFonts w:hint="eastAsia" w:ascii="宋体" w:hAnsi="宋体" w:cs="宋体"/>
                <w:color w:val="000000"/>
                <w:kern w:val="0"/>
                <w:sz w:val="18"/>
                <w:szCs w:val="18"/>
              </w:rPr>
              <w:t>考核部门（单位）在绩效管理信息的汇总和应用情况。</w:t>
            </w: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rPr>
          <w:cantSplit/>
          <w:trHeight w:val="2229"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2588"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r>
              <w:rPr>
                <w:rFonts w:ascii="宋体" w:hAnsi="宋体" w:cs="宋体"/>
                <w:color w:val="000000"/>
                <w:kern w:val="0"/>
                <w:sz w:val="20"/>
                <w:szCs w:val="20"/>
              </w:rPr>
              <w:t>.21</w:t>
            </w:r>
            <w:r>
              <w:rPr>
                <w:rFonts w:hint="eastAsia" w:ascii="宋体" w:hAnsi="宋体" w:cs="宋体"/>
                <w:color w:val="000000"/>
                <w:kern w:val="0"/>
                <w:sz w:val="20"/>
                <w:szCs w:val="20"/>
              </w:rPr>
              <w:t>%　</w:t>
            </w:r>
          </w:p>
        </w:tc>
        <w:tc>
          <w:tcPr>
            <w:tcW w:w="160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1.62%　</w:t>
            </w:r>
          </w:p>
        </w:tc>
        <w:tc>
          <w:tcPr>
            <w:tcW w:w="7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292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r>
            <w:r>
              <w:rPr>
                <w:rFonts w:hint="eastAsia" w:ascii="宋体" w:hAnsi="宋体" w:cs="宋体"/>
                <w:color w:val="000000"/>
                <w:kern w:val="0"/>
                <w:sz w:val="18"/>
                <w:szCs w:val="18"/>
              </w:rPr>
              <w:t>结转结余总额：部门（单位）本年度的结转资金与结余资金之和。</w:t>
            </w:r>
          </w:p>
        </w:tc>
        <w:tc>
          <w:tcPr>
            <w:tcW w:w="3578"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rPr>
          <w:cantSplit/>
          <w:trHeight w:val="981" w:hRule="atLeast"/>
        </w:trPr>
        <w:tc>
          <w:tcPr>
            <w:tcW w:w="117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674"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2588" w:type="dxa"/>
            <w:gridSpan w:val="3"/>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1604" w:type="dxa"/>
            <w:gridSpan w:val="2"/>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0.94%</w:t>
            </w:r>
          </w:p>
        </w:tc>
        <w:tc>
          <w:tcPr>
            <w:tcW w:w="7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292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357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rPr>
          <w:cantSplit/>
          <w:trHeight w:val="484" w:hRule="atLeast"/>
        </w:trPr>
        <w:tc>
          <w:tcPr>
            <w:tcW w:w="6044"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778"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848" w:type="dxa"/>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98.43</w:t>
            </w:r>
            <w:r>
              <w:rPr>
                <w:rFonts w:hint="eastAsia" w:ascii="宋体" w:hAnsi="宋体" w:cs="宋体"/>
                <w:color w:val="000000"/>
                <w:kern w:val="0"/>
                <w:sz w:val="20"/>
                <w:szCs w:val="20"/>
              </w:rPr>
              <w:t>　</w:t>
            </w:r>
          </w:p>
        </w:tc>
        <w:tc>
          <w:tcPr>
            <w:tcW w:w="6504"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bl>
    <w:p>
      <w:pPr>
        <w:spacing w:line="20" w:lineRule="exact"/>
        <w:rPr>
          <w:rFonts w:ascii="方正小标宋简体" w:eastAsia="方正小标宋简体"/>
          <w:sz w:val="36"/>
          <w:szCs w:val="36"/>
        </w:rPr>
      </w:pPr>
    </w:p>
    <w:p/>
    <w:p>
      <w:pPr>
        <w:rPr>
          <w:color w:val="auto"/>
        </w:rPr>
      </w:pPr>
    </w:p>
    <w:sectPr>
      <w:headerReference r:id="rId4" w:type="default"/>
      <w:footerReference r:id="rId5" w:type="default"/>
      <w:pgSz w:w="16838" w:h="11906" w:orient="landscape"/>
      <w:pgMar w:top="1800" w:right="1440" w:bottom="1800" w:left="144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楷体_GB2312"/>
    <w:panose1 w:val="02010600030101010101"/>
    <w:charset w:val="00"/>
    <w:family w:val="auto"/>
    <w:pitch w:val="default"/>
    <w:sig w:usb0="00000000" w:usb1="00000000" w:usb2="00000016" w:usb3="00000000" w:csb0="0004000F" w:csb1="00000000"/>
  </w:font>
  <w:font w:name="MS PGothic">
    <w:panose1 w:val="020B0600070205080204"/>
    <w:charset w:val="80"/>
    <w:family w:val="auto"/>
    <w:pitch w:val="default"/>
    <w:sig w:usb0="E00002FF" w:usb1="6AC7FDFB" w:usb2="00000012" w:usb3="00000000" w:csb0="4002009F" w:csb1="DFD70000"/>
  </w:font>
  <w:font w:name="Arial Unicode MS">
    <w:altName w:val="宋体"/>
    <w:panose1 w:val="020B0604020202020204"/>
    <w:charset w:val="86"/>
    <w:family w:val="auto"/>
    <w:pitch w:val="default"/>
    <w:sig w:usb0="FFFFFFFF" w:usb1="E9FFFFFF" w:usb2="0000003F" w:usb3="00000000" w:csb0="603F01FF" w:csb1="FFFF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fldChar w:fldCharType="begin"/>
    </w:r>
    <w:r>
      <w:instrText xml:space="preserve">PAGE   \* MERGEFORMAT</w:instrText>
    </w:r>
    <w:r>
      <w:fldChar w:fldCharType="separate"/>
    </w:r>
    <w:r>
      <w:rPr>
        <w:lang w:val="zh-CN"/>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hint="eastAsia"/>
      </w:rPr>
      <w:t>中国民主建国会北京市委员会</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line="600" w:lineRule="exact"/>
      <w:ind w:firstLine="640"/>
      <w:outlineLvl w:val="0"/>
    </w:pPr>
    <w:rPr>
      <w:rFonts w:ascii="黑体" w:hAnsi="黑体" w:eastAsia="黑体" w:cs="宋体"/>
      <w:color w:val="000000"/>
      <w:kern w:val="0"/>
    </w:rPr>
  </w:style>
  <w:style w:type="character" w:default="1" w:styleId="6">
    <w:name w:val="Default Paragraph Font"/>
    <w:semiHidden/>
    <w:unhideWhenUsed/>
    <w:uiPriority w:val="1"/>
  </w:style>
  <w:style w:type="paragraph" w:styleId="2">
    <w:name w:val="footer"/>
    <w:basedOn w:val="1"/>
    <w:next w:val="1"/>
    <w:link w:val="8"/>
    <w:qFormat/>
    <w:uiPriority w:val="99"/>
    <w:pPr>
      <w:tabs>
        <w:tab w:val="center" w:pos="4153"/>
        <w:tab w:val="right" w:pos="8306"/>
      </w:tabs>
      <w:snapToGrid w:val="0"/>
      <w:jc w:val="left"/>
    </w:pPr>
    <w:rPr>
      <w:sz w:val="18"/>
      <w:szCs w:val="20"/>
    </w:rPr>
  </w:style>
  <w:style w:type="paragraph" w:styleId="4">
    <w:name w:val="Block Text"/>
    <w:basedOn w:val="1"/>
    <w:qFormat/>
    <w:uiPriority w:val="0"/>
    <w:pPr>
      <w:spacing w:after="120"/>
      <w:ind w:left="700" w:leftChars="700" w:right="700" w:rightChars="700"/>
    </w:pPr>
  </w:style>
  <w:style w:type="paragraph" w:styleId="5">
    <w:name w:val="header"/>
    <w:basedOn w:val="1"/>
    <w:link w:val="7"/>
    <w:uiPriority w:val="99"/>
    <w:pPr>
      <w:pBdr>
        <w:bottom w:val="single" w:color="auto" w:sz="4" w:space="1"/>
      </w:pBdr>
      <w:tabs>
        <w:tab w:val="center" w:pos="4153"/>
        <w:tab w:val="right" w:pos="8306"/>
      </w:tabs>
      <w:snapToGrid w:val="0"/>
      <w:jc w:val="center"/>
    </w:pPr>
    <w:rPr>
      <w:sz w:val="18"/>
      <w:szCs w:val="18"/>
    </w:rPr>
  </w:style>
  <w:style w:type="character" w:customStyle="1" w:styleId="7">
    <w:name w:val="页眉 字符"/>
    <w:basedOn w:val="6"/>
    <w:link w:val="5"/>
    <w:uiPriority w:val="99"/>
    <w:rPr>
      <w:kern w:val="2"/>
      <w:sz w:val="18"/>
      <w:szCs w:val="18"/>
    </w:rPr>
  </w:style>
  <w:style w:type="character" w:customStyle="1" w:styleId="8">
    <w:name w:val="页脚 字符"/>
    <w:basedOn w:val="6"/>
    <w:link w:val="2"/>
    <w:uiPriority w:val="99"/>
    <w:rPr>
      <w:kern w:val="2"/>
      <w:sz w:val="18"/>
    </w:rPr>
  </w:style>
  <w:style w:type="character" w:customStyle="1" w:styleId="9">
    <w:name w:val="font11"/>
    <w:basedOn w:val="6"/>
    <w:uiPriority w:val="0"/>
    <w:rPr>
      <w:rFonts w:hint="eastAsia" w:ascii="宋体" w:hAnsi="宋体" w:eastAsia="宋体" w:cs="宋体"/>
      <w:color w:val="000000"/>
      <w:sz w:val="18"/>
      <w:szCs w:val="18"/>
      <w:u w:val="none"/>
    </w:rPr>
  </w:style>
  <w:style w:type="character" w:customStyle="1" w:styleId="10">
    <w:name w:val="NormalCharacter"/>
    <w:qFormat/>
    <w:uiPriority w:val="0"/>
    <w:rPr>
      <w:rFonts w:ascii="等线" w:hAnsi="等线" w:eastAsia="等线" w:cs="黑体"/>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1203</Words>
  <Characters>6863</Characters>
  <Lines>57</Lines>
  <Paragraphs>16</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2023-05-07T04:49:00Z</dcterms:created>
  <dc:creator>jscxw</dc:creator>
  <cp:lastModifiedBy>闫立伟</cp:lastModifiedBy>
  <dcterms:modified xsi:type="dcterms:W3CDTF">2023-06-09T02:01:02Z</dcterms:modified>
  <dc:title>附件4</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CB880C7629894C57986C623B075C9A8B_13</vt:lpwstr>
  </property>
</Properties>
</file>