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中国民主建国会北京市委员会</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部门整体绩效评价报告</w:t>
      </w:r>
    </w:p>
    <w:p>
      <w:pPr>
        <w:jc w:val="center"/>
        <w:rPr>
          <w:rFonts w:ascii="仿宋_GB2312"/>
          <w:szCs w:val="30"/>
        </w:rPr>
      </w:pP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（一）机构设置及职责工作任务情况</w:t>
      </w:r>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中国民主建国会北京市委员会属正局级行政单位，下设办公室、研究室、组织处、宣传处、参政议政处、社会服务和联络处。</w:t>
      </w:r>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 中国民主建国会北京市委员会是中国民主建国会的省级地方组织，主要职能是参政议政、民主监督和参加中国共产党领导的政治协商。主要工作包括团结带领广大会员，积极参加社会主义现代化建设的实践活动，围绕首都经济建设和社会发展中的重大问题，开展调查研究，积极建言献策，努力服务社会等。</w:t>
      </w:r>
    </w:p>
    <w:p>
      <w:pPr>
        <w:spacing w:line="360" w:lineRule="auto"/>
        <w:ind w:firstLine="640" w:firstLineChars="200"/>
        <w:rPr>
          <w:rFonts w:ascii="楷体_GB2312" w:eastAsia="楷体_GB2312"/>
          <w:sz w:val="32"/>
          <w:szCs w:val="32"/>
        </w:rPr>
      </w:pPr>
      <w:r>
        <w:rPr>
          <w:rFonts w:hint="eastAsia" w:ascii="楷体_GB2312" w:eastAsia="楷体_GB2312"/>
          <w:sz w:val="32"/>
          <w:szCs w:val="32"/>
        </w:rPr>
        <w:t>（二）部门整体绩效目标设立情况</w:t>
      </w:r>
    </w:p>
    <w:p>
      <w:pPr>
        <w:pStyle w:val="4"/>
        <w:spacing w:before="234" w:line="360" w:lineRule="auto"/>
        <w:ind w:left="0" w:firstLine="640" w:firstLineChars="200"/>
        <w:rPr>
          <w:rFonts w:hint="eastAsia" w:ascii="仿宋_GB2312" w:hAnsi="仿宋_GB2312" w:eastAsia="仿宋_GB2312" w:cs="仿宋_GB2312"/>
          <w:bCs/>
          <w:kern w:val="0"/>
        </w:rPr>
      </w:pPr>
      <w:r>
        <w:rPr>
          <w:rFonts w:hint="eastAsia" w:ascii="仿宋_GB2312" w:hAnsi="仿宋_GB2312" w:eastAsia="仿宋_GB2312" w:cs="仿宋_GB2312"/>
          <w:bCs/>
          <w:kern w:val="0"/>
        </w:rPr>
        <w:t>2023年是全面落实中共二十大精神的开局之年，是三年新冠疫情防控转段后经济恢复发展的一年。在以习近平同志为核心的中共中央坚强领导下，北京市深入推进京津冀协同发展，持续优化提升首都功能，大力推动经济高质量发展，各项事业取得新进展新成效。</w:t>
      </w:r>
    </w:p>
    <w:p>
      <w:pPr>
        <w:spacing w:line="600" w:lineRule="exact"/>
        <w:ind w:firstLine="640" w:firstLineChars="200"/>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color w:val="auto"/>
          <w:sz w:val="32"/>
          <w:szCs w:val="32"/>
          <w:shd w:val="clear" w:color="auto" w:fill="FFFFFF"/>
        </w:rPr>
        <w:t>民建北京市委结合部门职责、2023年重点工作任务及财政资金分配使用计划，研究制定了年度绩效目标：以习近平新时代中国特色社会主义思想为指导，全面贯彻落实中共二十大精神，认真落实民建十二大的决策部署，坚持首善标准，争创一流业绩，紧扣民建工作新要求，探索自身建设新举措，实现协商议政新作为，更加奋发有为推动新时代首都发展。根据总体目标并结合工作重点，</w:t>
      </w:r>
      <w:r>
        <w:rPr>
          <w:rFonts w:hint="eastAsia" w:ascii="仿宋_GB2312" w:hAnsi="仿宋_GB2312" w:eastAsia="仿宋_GB2312" w:cs="仿宋_GB2312"/>
          <w:color w:val="auto"/>
          <w:sz w:val="32"/>
          <w:szCs w:val="32"/>
          <w:shd w:val="clear" w:color="auto" w:fill="FFFFFF"/>
          <w:lang w:eastAsia="zh-CN"/>
        </w:rPr>
        <w:t>民建北京市委</w:t>
      </w:r>
      <w:r>
        <w:rPr>
          <w:rFonts w:hint="eastAsia" w:ascii="仿宋_GB2312" w:hAnsi="仿宋_GB2312" w:eastAsia="仿宋_GB2312" w:cs="仿宋_GB2312"/>
          <w:color w:val="auto"/>
          <w:sz w:val="32"/>
          <w:szCs w:val="32"/>
          <w:shd w:val="clear" w:color="auto" w:fill="FFFFFF"/>
        </w:rPr>
        <w:t>从参政议政</w:t>
      </w:r>
      <w:r>
        <w:rPr>
          <w:rFonts w:hint="eastAsia" w:ascii="仿宋_GB2312" w:hAnsi="仿宋_GB2312" w:eastAsia="仿宋_GB2312" w:cs="仿宋_GB2312"/>
          <w:color w:val="auto"/>
          <w:sz w:val="32"/>
          <w:szCs w:val="32"/>
          <w:shd w:val="clear" w:color="auto" w:fill="FFFFFF"/>
          <w:lang w:eastAsia="zh-CN"/>
        </w:rPr>
        <w:t>和</w:t>
      </w:r>
      <w:r>
        <w:rPr>
          <w:rFonts w:hint="eastAsia" w:ascii="仿宋_GB2312" w:hAnsi="仿宋_GB2312" w:eastAsia="仿宋_GB2312" w:cs="仿宋_GB2312"/>
          <w:color w:val="auto"/>
          <w:sz w:val="32"/>
          <w:szCs w:val="32"/>
          <w:shd w:val="clear" w:color="auto" w:fill="FFFFFF"/>
        </w:rPr>
        <w:t>组织建设</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宣传教育、理论研究和社会服务联络</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政府会计制度改革</w:t>
      </w:r>
      <w:r>
        <w:rPr>
          <w:rFonts w:hint="eastAsia" w:ascii="仿宋_GB2312" w:hAnsi="仿宋_GB2312" w:eastAsia="仿宋_GB2312" w:cs="仿宋_GB2312"/>
          <w:color w:val="auto"/>
          <w:sz w:val="32"/>
          <w:szCs w:val="32"/>
          <w:shd w:val="clear" w:color="auto" w:fill="FFFFFF"/>
          <w:lang w:eastAsia="zh-CN"/>
        </w:rPr>
        <w:t>，机动经费</w:t>
      </w:r>
      <w:r>
        <w:rPr>
          <w:rFonts w:hint="eastAsia" w:ascii="仿宋_GB2312" w:hAnsi="仿宋_GB2312" w:eastAsia="仿宋_GB2312" w:cs="仿宋_GB2312"/>
          <w:color w:val="auto"/>
          <w:sz w:val="32"/>
          <w:szCs w:val="32"/>
          <w:shd w:val="clear" w:color="auto" w:fill="FFFFFF"/>
        </w:rPr>
        <w:t>等方面设定了绩效指标，指标设定与部门职能任务匹配，符合相关法律法规的要求，目标依据充分，具有一定的可操作性和可实现性。</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202</w:t>
      </w:r>
      <w:r>
        <w:rPr>
          <w:rFonts w:hint="eastAsia" w:ascii="仿宋_GB2312" w:hAnsi="仿宋_GB2312" w:eastAsia="仿宋_GB2312" w:cs="仿宋_GB2312"/>
          <w:color w:val="auto"/>
          <w:sz w:val="32"/>
          <w:szCs w:val="32"/>
          <w:shd w:val="clear" w:color="auto" w:fill="FFFFFF"/>
          <w:lang w:val="en-US" w:eastAsia="zh-CN"/>
        </w:rPr>
        <w:t>3</w:t>
      </w:r>
      <w:r>
        <w:rPr>
          <w:rFonts w:hint="eastAsia" w:ascii="仿宋_GB2312" w:hAnsi="仿宋_GB2312" w:eastAsia="仿宋_GB2312" w:cs="仿宋_GB2312"/>
          <w:color w:val="auto"/>
          <w:sz w:val="32"/>
          <w:szCs w:val="32"/>
          <w:shd w:val="clear" w:color="auto" w:fill="FFFFFF"/>
        </w:rPr>
        <w:t>年全年预算数1986.15万元，其中基本经费1846.52万元，项目经费139.63万元。资金总体支出1913.40万元，其中，基本支出1803.61万元，项目支出109.79万元。预算执行率为96.34%，比2022年预算执行率98.29%减少了1.95个百分点。</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spacing w:line="600" w:lineRule="exact"/>
        <w:ind w:firstLine="640" w:firstLineChars="200"/>
        <w:rPr>
          <w:rFonts w:ascii="楷体_GB2312" w:eastAsia="楷体_GB2312"/>
          <w:sz w:val="32"/>
          <w:szCs w:val="32"/>
        </w:rPr>
      </w:pPr>
      <w:r>
        <w:rPr>
          <w:rFonts w:hint="eastAsia" w:ascii="仿宋" w:hAnsi="仿宋" w:eastAsia="仿宋"/>
          <w:color w:val="auto"/>
          <w:sz w:val="32"/>
          <w:szCs w:val="32"/>
          <w:shd w:val="clear" w:color="auto" w:fill="FFFFFF"/>
        </w:rPr>
        <w:t>2023年民建北京市委在民建中央和中共北京市委的领导下，</w:t>
      </w:r>
      <w:r>
        <w:rPr>
          <w:rFonts w:hint="eastAsia" w:ascii="仿宋_GB2312" w:hAnsi="仿宋_GB2312" w:eastAsia="仿宋_GB2312" w:cs="仿宋_GB2312"/>
          <w:bCs/>
          <w:kern w:val="0"/>
          <w:sz w:val="32"/>
          <w:szCs w:val="32"/>
        </w:rPr>
        <w:t>坚持以习近平新时代中国特色社会主义思想为指导，按照民建</w:t>
      </w:r>
      <w:r>
        <w:rPr>
          <w:rFonts w:hint="eastAsia" w:ascii="仿宋_GB2312" w:hAnsi="仿宋_GB2312" w:eastAsia="仿宋_GB2312" w:cs="仿宋_GB2312"/>
          <w:bCs/>
          <w:kern w:val="0"/>
          <w:sz w:val="32"/>
          <w:szCs w:val="32"/>
          <w:lang w:eastAsia="zh-CN"/>
        </w:rPr>
        <w:t>中央的工作</w:t>
      </w:r>
      <w:r>
        <w:rPr>
          <w:rFonts w:hint="eastAsia" w:ascii="仿宋_GB2312" w:hAnsi="仿宋_GB2312" w:eastAsia="仿宋_GB2312" w:cs="仿宋_GB2312"/>
          <w:bCs/>
          <w:kern w:val="0"/>
          <w:sz w:val="32"/>
          <w:szCs w:val="32"/>
        </w:rPr>
        <w:t>部署，深入开展“凝心铸魂强根基、团结奋进新征程”主题教育，持续加强自身建设，积极履行参政党职责，各项工作取得新成绩。</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（一）产出完成情况分析</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1.产出数量</w:t>
      </w:r>
    </w:p>
    <w:p>
      <w:pPr>
        <w:widowControl w:val="0"/>
        <w:wordWrap/>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民建北京市委聚焦制约北京市经济社会高质量发展的重点难点问题和百姓急难愁盼问题，全年共开展各类线上线下调研活动百余次，形成调研成果246篇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全年向会中央报送调研成果50余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围绕助企纾困、灾后重建、退役军人保障等问题征集建议百余篇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u w:val="none" w:color="auto"/>
        </w:rPr>
        <w:t>报送</w:t>
      </w:r>
      <w:r>
        <w:rPr>
          <w:rFonts w:hint="eastAsia" w:ascii="仿宋_GB2312" w:hAnsi="仿宋_GB2312" w:eastAsia="仿宋_GB2312" w:cs="仿宋_GB2312"/>
          <w:color w:val="auto"/>
          <w:sz w:val="32"/>
          <w:szCs w:val="32"/>
          <w:u w:val="none" w:color="auto"/>
          <w:lang w:eastAsia="zh-CN"/>
        </w:rPr>
        <w:t>社情民意信息</w:t>
      </w:r>
      <w:r>
        <w:rPr>
          <w:rFonts w:hint="eastAsia" w:ascii="仿宋_GB2312" w:hAnsi="仿宋_GB2312" w:eastAsia="仿宋_GB2312" w:cs="仿宋_GB2312"/>
          <w:color w:val="auto"/>
          <w:sz w:val="32"/>
          <w:szCs w:val="32"/>
          <w:u w:val="none" w:color="auto"/>
        </w:rPr>
        <w:t>5</w:t>
      </w:r>
      <w:r>
        <w:rPr>
          <w:rFonts w:hint="eastAsia" w:ascii="仿宋_GB2312" w:hAnsi="仿宋_GB2312" w:eastAsia="仿宋_GB2312" w:cs="仿宋_GB2312"/>
          <w:color w:val="auto"/>
          <w:sz w:val="32"/>
          <w:szCs w:val="32"/>
          <w:u w:val="none" w:color="auto"/>
          <w:lang w:val="en-US" w:eastAsia="zh-CN"/>
        </w:rPr>
        <w:t>55</w:t>
      </w:r>
      <w:r>
        <w:rPr>
          <w:rFonts w:hint="eastAsia" w:ascii="仿宋_GB2312" w:hAnsi="仿宋_GB2312" w:eastAsia="仿宋_GB2312" w:cs="仿宋_GB2312"/>
          <w:color w:val="auto"/>
          <w:sz w:val="32"/>
          <w:szCs w:val="32"/>
          <w:u w:val="none" w:color="auto"/>
        </w:rPr>
        <w:t>篇，采用</w:t>
      </w:r>
      <w:r>
        <w:rPr>
          <w:rFonts w:hint="eastAsia" w:ascii="仿宋_GB2312" w:hAnsi="仿宋_GB2312" w:eastAsia="仿宋_GB2312" w:cs="仿宋_GB2312"/>
          <w:color w:val="auto"/>
          <w:sz w:val="32"/>
          <w:szCs w:val="32"/>
          <w:u w:val="none" w:color="auto"/>
          <w:lang w:val="en-US" w:eastAsia="zh-CN"/>
        </w:rPr>
        <w:t>412</w:t>
      </w:r>
      <w:r>
        <w:rPr>
          <w:rFonts w:hint="eastAsia" w:ascii="仿宋_GB2312" w:hAnsi="仿宋_GB2312" w:eastAsia="仿宋_GB2312" w:cs="仿宋_GB2312"/>
          <w:color w:val="auto"/>
          <w:sz w:val="32"/>
          <w:szCs w:val="32"/>
          <w:u w:val="none" w:color="auto"/>
        </w:rPr>
        <w:t>篇次，</w:t>
      </w:r>
      <w:r>
        <w:rPr>
          <w:rFonts w:hint="eastAsia" w:ascii="仿宋_GB2312" w:hAnsi="仿宋_GB2312" w:eastAsia="仿宋_GB2312" w:cs="仿宋_GB2312"/>
          <w:color w:val="auto"/>
          <w:sz w:val="32"/>
          <w:szCs w:val="32"/>
          <w:u w:val="none" w:color="auto"/>
          <w:lang w:eastAsia="zh-CN"/>
        </w:rPr>
        <w:t>获市领导批示11篇</w:t>
      </w:r>
      <w:r>
        <w:rPr>
          <w:rFonts w:hint="eastAsia" w:ascii="仿宋_GB2312" w:hAnsi="仿宋_GB2312" w:eastAsia="仿宋_GB2312" w:cs="仿宋_GB2312"/>
          <w:color w:val="auto"/>
          <w:sz w:val="32"/>
          <w:szCs w:val="32"/>
          <w:highlight w:val="none"/>
          <w:u w:val="none" w:color="auto"/>
        </w:rPr>
        <w:t>。</w:t>
      </w:r>
      <w:r>
        <w:rPr>
          <w:rFonts w:hint="eastAsia" w:ascii="仿宋_GB2312" w:hAnsi="仿宋_GB2312" w:eastAsia="仿宋_GB2312" w:cs="仿宋_GB2312"/>
          <w:sz w:val="32"/>
          <w:szCs w:val="32"/>
        </w:rPr>
        <w:t>集智聚力高质量完成政党协商和政协协商任务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围绕关乎“国之大者”的首都工作，就政党协商和政协协商议题，向中共市委统战部报送调研成果15篇，向市政协十四届二次会议提交提案9篇、大会发言5篇。</w:t>
      </w:r>
    </w:p>
    <w:p>
      <w:pPr>
        <w:widowControl w:val="0"/>
        <w:wordWrap/>
        <w:adjustRightInd/>
        <w:snapToGrid/>
        <w:spacing w:line="600" w:lineRule="exact"/>
        <w:ind w:firstLine="640" w:firstLineChars="200"/>
        <w:textAlignment w:val="auto"/>
        <w:outlineLvl w:val="9"/>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围绕“中共二十大理论创新成果在阐释参政党履职、建设和发展规律中的应用”等主题，发动各级组织积极参与理论研究，</w:t>
      </w:r>
      <w:r>
        <w:rPr>
          <w:rFonts w:hint="eastAsia" w:ascii="仿宋_GB2312" w:hAnsi="仿宋_GB2312" w:eastAsia="仿宋_GB2312" w:cs="仿宋_GB2312"/>
          <w:bCs/>
          <w:kern w:val="0"/>
          <w:sz w:val="32"/>
          <w:szCs w:val="32"/>
        </w:rPr>
        <w:t>择优向民建中央报送10</w:t>
      </w:r>
      <w:r>
        <w:rPr>
          <w:rFonts w:hint="eastAsia" w:ascii="仿宋_GB2312" w:hAnsi="仿宋_GB2312" w:eastAsia="仿宋_GB2312" w:cs="仿宋_GB2312"/>
          <w:sz w:val="32"/>
          <w:szCs w:val="32"/>
          <w:lang w:val="zh-CN"/>
        </w:rPr>
        <w:t>篇研究成果；</w:t>
      </w:r>
      <w:r>
        <w:rPr>
          <w:rFonts w:hint="eastAsia" w:ascii="仿宋_GB2312" w:hAnsi="仿宋_GB2312" w:eastAsia="仿宋_GB2312" w:cs="仿宋_GB2312"/>
          <w:color w:val="auto"/>
          <w:sz w:val="32"/>
          <w:szCs w:val="32"/>
          <w:highlight w:val="none"/>
          <w:u w:val="none" w:color="auto"/>
          <w:lang w:val="en-US" w:eastAsia="zh-CN"/>
        </w:rPr>
        <w:t>组织会员撰写</w:t>
      </w:r>
      <w:r>
        <w:rPr>
          <w:rFonts w:hint="eastAsia" w:ascii="仿宋_GB2312" w:hAnsi="仿宋_GB2312" w:eastAsia="仿宋_GB2312" w:cs="仿宋_GB2312"/>
          <w:bCs/>
          <w:color w:val="auto"/>
          <w:kern w:val="0"/>
          <w:sz w:val="32"/>
          <w:szCs w:val="32"/>
          <w:highlight w:val="none"/>
          <w:u w:val="none" w:color="auto"/>
          <w:lang w:val="en-US" w:eastAsia="zh-CN"/>
        </w:rPr>
        <w:t>《大道薪传（民建篇）》</w:t>
      </w:r>
      <w:r>
        <w:rPr>
          <w:rFonts w:hint="eastAsia" w:ascii="仿宋_GB2312" w:hAnsi="仿宋_GB2312" w:eastAsia="仿宋_GB2312" w:cs="仿宋_GB2312"/>
          <w:color w:val="auto"/>
          <w:sz w:val="32"/>
          <w:szCs w:val="32"/>
          <w:highlight w:val="none"/>
          <w:u w:val="none" w:color="auto"/>
          <w:lang w:val="en-US" w:eastAsia="zh-CN"/>
        </w:rPr>
        <w:t>观后感近260篇。创新举办“诵读新思想 奋进新征程”大赛，开展读书班、专题讲座、交流研讨、现场观摩等活动近600次。</w:t>
      </w:r>
    </w:p>
    <w:p>
      <w:pPr>
        <w:pStyle w:val="4"/>
        <w:widowControl w:val="0"/>
        <w:wordWrap/>
        <w:adjustRightInd/>
        <w:snapToGrid/>
        <w:spacing w:after="0" w:line="600" w:lineRule="exact"/>
        <w:ind w:left="0" w:leftChars="0" w:right="0" w:firstLine="640" w:firstLineChars="200"/>
        <w:textAlignment w:val="auto"/>
        <w:outlineLvl w:val="9"/>
        <w:rPr>
          <w:rFonts w:hint="eastAsia" w:ascii="仿宋_GB2312" w:hAnsi="仿宋_GB2312" w:eastAsia="仿宋_GB2312" w:cs="仿宋_GB2312"/>
          <w:color w:val="auto"/>
          <w:sz w:val="32"/>
          <w:szCs w:val="32"/>
          <w:highlight w:val="none"/>
          <w:u w:val="none" w:color="auto"/>
          <w:lang w:val="en-US" w:eastAsia="zh-CN"/>
        </w:rPr>
      </w:pPr>
      <w:r>
        <w:rPr>
          <w:rFonts w:hint="eastAsia" w:ascii="仿宋_GB2312" w:hAnsi="仿宋_GB2312" w:eastAsia="仿宋_GB2312" w:cs="仿宋_GB2312"/>
          <w:sz w:val="32"/>
          <w:szCs w:val="32"/>
          <w:lang w:eastAsia="zh-CN"/>
        </w:rPr>
        <w:t>以</w:t>
      </w:r>
      <w:r>
        <w:rPr>
          <w:rFonts w:hint="eastAsia" w:ascii="仿宋_GB2312" w:hAnsi="仿宋_GB2312" w:eastAsia="仿宋_GB2312" w:cs="仿宋_GB2312"/>
          <w:sz w:val="32"/>
          <w:szCs w:val="32"/>
        </w:rPr>
        <w:t>学习贯彻中共二十大精神以及民建十二大、全国两会、市两会精神等</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重点，强化主题策划，打造宣传矩阵。</w:t>
      </w:r>
      <w:r>
        <w:rPr>
          <w:rFonts w:hint="eastAsia" w:ascii="仿宋_GB2312" w:hAnsi="仿宋_GB2312" w:eastAsia="仿宋_GB2312" w:cs="仿宋_GB2312"/>
          <w:color w:val="auto"/>
          <w:sz w:val="32"/>
          <w:szCs w:val="32"/>
          <w:highlight w:val="none"/>
          <w:u w:val="none" w:color="auto"/>
          <w:lang w:val="en-US" w:eastAsia="zh-CN"/>
        </w:rPr>
        <w:t>市委会网站全年编发稿件2132篇，民建中央采用685篇；微信公众号关注人数达7181人，推送文章523篇，阅读量超36万；《北京民建》杂志印发12期；在省级及以上主流媒体刊发报道1157篇。</w:t>
      </w:r>
    </w:p>
    <w:p>
      <w:pPr>
        <w:widowControl w:val="0"/>
        <w:wordWrap/>
        <w:adjustRightInd/>
        <w:snapToGrid/>
        <w:spacing w:line="600" w:lineRule="exact"/>
        <w:ind w:left="105" w:leftChars="50" w:firstLine="480" w:firstLineChars="150"/>
        <w:textAlignment w:val="auto"/>
        <w:outlineLvl w:val="9"/>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2.产出</w:t>
      </w:r>
      <w:r>
        <w:rPr>
          <w:rFonts w:ascii="仿宋_GB2312" w:hAnsi="宋体" w:eastAsia="仿宋_GB2312" w:cs="宋体"/>
          <w:color w:val="000000"/>
          <w:kern w:val="0"/>
          <w:sz w:val="32"/>
          <w:szCs w:val="32"/>
        </w:rPr>
        <w:t>质量</w:t>
      </w:r>
    </w:p>
    <w:p>
      <w:pPr>
        <w:widowControl w:val="0"/>
        <w:wordWrap/>
        <w:adjustRightInd/>
        <w:snapToGrid/>
        <w:spacing w:line="600" w:lineRule="exact"/>
        <w:ind w:left="105" w:leftChars="50" w:firstLine="480" w:firstLineChars="15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u w:val="none" w:color="auto"/>
          <w:lang w:val="en-US" w:eastAsia="zh-CN"/>
        </w:rPr>
        <w:t>民建北京市委荣获民建中央2023年度参政议政工作先进单位一等奖、反映社情民意信息工作先进单位一等奖。</w:t>
      </w:r>
      <w:r>
        <w:rPr>
          <w:rFonts w:hint="eastAsia" w:ascii="仿宋_GB2312" w:hAnsi="仿宋_GB2312" w:eastAsia="仿宋_GB2312" w:cs="仿宋_GB2312"/>
          <w:color w:val="auto"/>
          <w:sz w:val="32"/>
          <w:szCs w:val="32"/>
          <w:highlight w:val="none"/>
          <w:u w:val="none" w:color="auto"/>
          <w:lang w:val="en-US" w:eastAsia="zh-CN"/>
        </w:rPr>
        <w:t>《充分发挥制度优势 推进北京证券交易所发展》</w:t>
      </w:r>
      <w:r>
        <w:rPr>
          <w:rFonts w:hint="eastAsia" w:ascii="仿宋_GB2312" w:hAnsi="仿宋_GB2312" w:eastAsia="仿宋_GB2312" w:cs="仿宋_GB2312"/>
          <w:color w:val="auto"/>
          <w:sz w:val="32"/>
          <w:szCs w:val="32"/>
          <w:highlight w:val="none"/>
          <w:u w:val="none" w:color="auto"/>
        </w:rPr>
        <w:t>等</w:t>
      </w:r>
      <w:r>
        <w:rPr>
          <w:rFonts w:hint="eastAsia" w:ascii="仿宋_GB2312" w:hAnsi="仿宋_GB2312" w:eastAsia="仿宋_GB2312" w:cs="仿宋_GB2312"/>
          <w:color w:val="auto"/>
          <w:kern w:val="2"/>
          <w:sz w:val="32"/>
          <w:szCs w:val="32"/>
          <w:highlight w:val="none"/>
          <w:u w:val="none" w:color="auto"/>
          <w:lang w:val="en-US" w:eastAsia="zh-CN" w:bidi="ar-SA"/>
        </w:rPr>
        <w:t>9</w:t>
      </w:r>
      <w:r>
        <w:rPr>
          <w:rFonts w:hint="eastAsia" w:ascii="仿宋_GB2312" w:hAnsi="仿宋_GB2312" w:eastAsia="仿宋_GB2312" w:cs="仿宋_GB2312"/>
          <w:color w:val="auto"/>
          <w:sz w:val="32"/>
          <w:szCs w:val="32"/>
          <w:highlight w:val="none"/>
          <w:u w:val="none" w:color="auto"/>
        </w:rPr>
        <w:t>篇建言专报</w:t>
      </w:r>
      <w:r>
        <w:rPr>
          <w:rFonts w:hint="eastAsia" w:ascii="仿宋_GB2312" w:hAnsi="仿宋_GB2312" w:eastAsia="仿宋_GB2312" w:cs="仿宋_GB2312"/>
          <w:color w:val="auto"/>
          <w:sz w:val="32"/>
          <w:szCs w:val="32"/>
          <w:highlight w:val="none"/>
          <w:u w:val="none" w:color="auto"/>
          <w:lang w:eastAsia="zh-CN"/>
        </w:rPr>
        <w:t>获采用，其中</w:t>
      </w:r>
      <w:r>
        <w:rPr>
          <w:rFonts w:hint="eastAsia" w:ascii="仿宋_GB2312" w:hAnsi="仿宋_GB2312" w:eastAsia="仿宋_GB2312" w:cs="仿宋_GB2312"/>
          <w:color w:val="auto"/>
          <w:sz w:val="32"/>
          <w:szCs w:val="32"/>
          <w:highlight w:val="none"/>
          <w:u w:val="none" w:color="auto"/>
          <w:lang w:val="en-US" w:eastAsia="zh-CN"/>
        </w:rPr>
        <w:t>6篇被市领导批示</w:t>
      </w:r>
      <w:r>
        <w:rPr>
          <w:rFonts w:hint="eastAsia" w:ascii="仿宋_GB2312" w:hAnsi="仿宋_GB2312" w:eastAsia="仿宋_GB2312" w:cs="仿宋_GB2312"/>
          <w:color w:val="auto"/>
          <w:sz w:val="32"/>
          <w:szCs w:val="32"/>
          <w:highlight w:val="none"/>
          <w:u w:val="none" w:color="auto"/>
          <w:lang w:eastAsia="zh-CN"/>
        </w:rPr>
        <w:t>；</w:t>
      </w:r>
      <w:r>
        <w:rPr>
          <w:rFonts w:hint="eastAsia" w:ascii="仿宋_GB2312" w:hAnsi="仿宋_GB2312" w:eastAsia="仿宋_GB2312" w:cs="仿宋_GB2312"/>
          <w:sz w:val="32"/>
          <w:szCs w:val="32"/>
        </w:rPr>
        <w:t>11篇</w:t>
      </w:r>
      <w:r>
        <w:rPr>
          <w:rFonts w:hint="eastAsia" w:ascii="仿宋_GB2312" w:hAnsi="仿宋_GB2312" w:eastAsia="仿宋_GB2312" w:cs="仿宋_GB2312"/>
          <w:sz w:val="32"/>
          <w:szCs w:val="32"/>
          <w:lang w:eastAsia="zh-CN"/>
        </w:rPr>
        <w:t>社情民意信息获</w:t>
      </w:r>
      <w:r>
        <w:rPr>
          <w:rFonts w:hint="eastAsia" w:ascii="仿宋_GB2312" w:hAnsi="仿宋_GB2312" w:eastAsia="仿宋_GB2312" w:cs="仿宋_GB2312"/>
          <w:sz w:val="32"/>
          <w:szCs w:val="32"/>
        </w:rPr>
        <w:t>市主要领导批示。</w:t>
      </w:r>
    </w:p>
    <w:p>
      <w:pPr>
        <w:widowControl w:val="0"/>
        <w:wordWrap/>
        <w:adjustRightInd/>
        <w:snapToGrid/>
        <w:spacing w:line="600" w:lineRule="exact"/>
        <w:ind w:left="105" w:leftChars="50" w:firstLine="480" w:firstLineChars="150"/>
        <w:textAlignment w:val="auto"/>
        <w:outlineLvl w:val="9"/>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en-US" w:eastAsia="zh-CN"/>
        </w:rPr>
        <w:t>2023年，</w:t>
      </w:r>
      <w:r>
        <w:rPr>
          <w:rFonts w:hint="eastAsia" w:ascii="仿宋_GB2312" w:hAnsi="仿宋_GB2312" w:eastAsia="仿宋_GB2312" w:cs="仿宋_GB2312"/>
          <w:sz w:val="32"/>
          <w:szCs w:val="32"/>
          <w:lang w:eastAsia="zh-CN"/>
        </w:rPr>
        <w:t>民建市委及4个区级组织、10位会员荣获民建思想政治建设工作先进集体和先进个人称号；</w:t>
      </w:r>
      <w:r>
        <w:rPr>
          <w:rFonts w:hint="eastAsia" w:ascii="仿宋_GB2312" w:hAnsi="仿宋_GB2312" w:eastAsia="仿宋_GB2312" w:cs="仿宋_GB2312"/>
          <w:sz w:val="32"/>
          <w:szCs w:val="32"/>
        </w:rPr>
        <w:t>4篇</w:t>
      </w:r>
      <w:r>
        <w:rPr>
          <w:rFonts w:hint="eastAsia" w:ascii="仿宋_GB2312" w:hAnsi="仿宋_GB2312" w:eastAsia="仿宋_GB2312" w:cs="仿宋_GB2312"/>
          <w:sz w:val="32"/>
          <w:szCs w:val="32"/>
          <w:lang w:eastAsia="zh-CN"/>
        </w:rPr>
        <w:t>理论成果</w:t>
      </w:r>
      <w:r>
        <w:rPr>
          <w:rFonts w:hint="eastAsia" w:ascii="仿宋_GB2312" w:hAnsi="仿宋_GB2312" w:eastAsia="仿宋_GB2312" w:cs="仿宋_GB2312"/>
          <w:sz w:val="32"/>
          <w:szCs w:val="32"/>
        </w:rPr>
        <w:t>分获民建中央重点理论研究课题优秀成果一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三等奖和优秀奖，市委会连续12年获优秀组织奖</w:t>
      </w:r>
      <w:r>
        <w:rPr>
          <w:rFonts w:hint="eastAsia" w:ascii="仿宋_GB2312" w:hAnsi="仿宋_GB2312" w:eastAsia="仿宋_GB2312" w:cs="仿宋_GB2312"/>
          <w:sz w:val="32"/>
          <w:szCs w:val="32"/>
          <w:lang w:val="zh-CN"/>
        </w:rPr>
        <w:t>。</w:t>
      </w:r>
    </w:p>
    <w:p>
      <w:pPr>
        <w:widowControl w:val="0"/>
        <w:wordWrap/>
        <w:adjustRightInd/>
        <w:snapToGrid/>
        <w:spacing w:line="600" w:lineRule="exact"/>
        <w:ind w:left="105" w:leftChars="50" w:firstLine="480" w:firstLineChars="150"/>
        <w:textAlignment w:val="auto"/>
        <w:outlineLvl w:val="9"/>
        <w:rPr>
          <w:rFonts w:hint="eastAsia" w:ascii="仿宋_GB2312" w:hAnsi="仿宋_GB2312" w:eastAsia="仿宋_GB2312" w:cs="仿宋_GB2312"/>
          <w:color w:val="auto"/>
          <w:sz w:val="32"/>
          <w:szCs w:val="32"/>
          <w:highlight w:val="none"/>
          <w:u w:val="none" w:color="auto"/>
          <w:lang w:val="en-US" w:eastAsia="zh-CN"/>
        </w:rPr>
      </w:pPr>
      <w:r>
        <w:rPr>
          <w:rFonts w:hint="eastAsia" w:ascii="仿宋_GB2312" w:hAnsi="仿宋_GB2312" w:eastAsia="仿宋_GB2312" w:cs="仿宋_GB2312"/>
          <w:sz w:val="32"/>
          <w:szCs w:val="32"/>
          <w:lang w:val="en-US" w:eastAsia="zh-CN"/>
        </w:rPr>
        <w:t>民建市委还</w:t>
      </w:r>
      <w:r>
        <w:rPr>
          <w:rFonts w:hint="eastAsia" w:ascii="仿宋_GB2312" w:hAnsi="仿宋_GB2312" w:eastAsia="仿宋_GB2312" w:cs="仿宋_GB2312"/>
          <w:sz w:val="32"/>
          <w:szCs w:val="32"/>
          <w:lang w:eastAsia="zh-CN"/>
        </w:rPr>
        <w:t>获得了民建中央新闻宣传工作先进单位一等奖、</w:t>
      </w:r>
      <w:r>
        <w:rPr>
          <w:rFonts w:hint="eastAsia" w:ascii="仿宋_GB2312" w:hAnsi="仿宋_GB2312" w:eastAsia="仿宋_GB2312" w:cs="仿宋_GB2312"/>
          <w:sz w:val="32"/>
          <w:szCs w:val="32"/>
        </w:rPr>
        <w:t>民建中央网站年度组稿工作先进单位一等奖</w:t>
      </w:r>
      <w:r>
        <w:rPr>
          <w:rFonts w:hint="eastAsia" w:ascii="仿宋_GB2312" w:hAnsi="仿宋_GB2312" w:eastAsia="仿宋_GB2312" w:cs="仿宋_GB2312"/>
          <w:sz w:val="32"/>
          <w:szCs w:val="32"/>
          <w:lang w:eastAsia="zh-CN"/>
        </w:rPr>
        <w:t>；民建北京市委公众号</w:t>
      </w:r>
      <w:r>
        <w:rPr>
          <w:rFonts w:hint="eastAsia" w:ascii="仿宋_GB2312" w:hAnsi="仿宋_GB2312" w:eastAsia="仿宋_GB2312" w:cs="仿宋_GB2312"/>
          <w:color w:val="auto"/>
          <w:sz w:val="32"/>
          <w:szCs w:val="32"/>
          <w:highlight w:val="none"/>
          <w:u w:val="none" w:color="auto"/>
          <w:lang w:val="en-US" w:eastAsia="zh-CN"/>
        </w:rPr>
        <w:t>跻身团结报社“2023年度民主党派省级组织公众号二十大靓号”之列。</w:t>
      </w:r>
    </w:p>
    <w:p>
      <w:pPr>
        <w:widowControl w:val="0"/>
        <w:wordWrap/>
        <w:adjustRightInd/>
        <w:snapToGrid/>
        <w:spacing w:line="600" w:lineRule="exact"/>
        <w:ind w:left="105" w:leftChars="50" w:firstLine="480" w:firstLineChars="150"/>
        <w:textAlignment w:val="auto"/>
        <w:outlineLvl w:val="9"/>
      </w:pPr>
      <w:r>
        <w:rPr>
          <w:rFonts w:hint="eastAsia" w:ascii="仿宋_GB2312" w:hAnsi="仿宋_GB2312" w:eastAsia="仿宋_GB2312" w:cs="仿宋_GB2312"/>
          <w:color w:val="auto"/>
          <w:sz w:val="32"/>
          <w:szCs w:val="32"/>
          <w:lang w:eastAsia="zh-CN"/>
        </w:rPr>
        <w:t>主动服务经济社会发展，</w:t>
      </w:r>
      <w:r>
        <w:rPr>
          <w:rFonts w:hint="eastAsia" w:ascii="仿宋_GB2312" w:hAnsi="仿宋_GB2312" w:eastAsia="仿宋_GB2312" w:cs="仿宋_GB2312"/>
          <w:color w:val="auto"/>
          <w:sz w:val="32"/>
          <w:szCs w:val="32"/>
          <w:lang w:val="en-US" w:eastAsia="zh-CN"/>
        </w:rPr>
        <w:t>2023年，</w:t>
      </w:r>
      <w:r>
        <w:rPr>
          <w:rFonts w:hint="eastAsia" w:ascii="仿宋_GB2312" w:hAnsi="仿宋_GB2312" w:eastAsia="仿宋_GB2312" w:cs="仿宋_GB2312"/>
          <w:color w:val="auto"/>
          <w:sz w:val="32"/>
          <w:szCs w:val="32"/>
          <w:lang w:eastAsia="zh-CN"/>
        </w:rPr>
        <w:t>民建北京市委获民建全国省级组织社会服务工作优秀单位，“名誉户主”和1个区级组织分别被</w:t>
      </w:r>
      <w:r>
        <w:rPr>
          <w:rFonts w:hint="eastAsia" w:ascii="仿宋_GB2312" w:hAnsi="仿宋_GB2312" w:eastAsia="仿宋_GB2312" w:cs="仿宋_GB2312"/>
          <w:sz w:val="32"/>
          <w:szCs w:val="32"/>
          <w:lang w:eastAsia="zh-CN"/>
        </w:rPr>
        <w:t>授予“8+1”行动最佳成效项目和最佳组织单位。</w:t>
      </w:r>
    </w:p>
    <w:p>
      <w:pPr>
        <w:widowControl w:val="0"/>
        <w:wordWrap/>
        <w:adjustRightInd/>
        <w:snapToGrid/>
        <w:spacing w:line="600" w:lineRule="exact"/>
        <w:ind w:left="105" w:leftChars="50" w:firstLine="480" w:firstLineChars="150"/>
        <w:textAlignment w:val="auto"/>
        <w:outlineLvl w:val="9"/>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3.产出</w:t>
      </w:r>
      <w:r>
        <w:rPr>
          <w:rFonts w:ascii="仿宋_GB2312" w:hAnsi="宋体" w:eastAsia="仿宋_GB2312" w:cs="宋体"/>
          <w:color w:val="000000"/>
          <w:kern w:val="0"/>
          <w:sz w:val="32"/>
          <w:szCs w:val="32"/>
        </w:rPr>
        <w:t>进度</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2023年民建北京市委根据部门整体产出目标完成情况分析，按照</w:t>
      </w:r>
      <w:r>
        <w:rPr>
          <w:rFonts w:hint="eastAsia" w:ascii="仿宋_GB2312" w:hAnsi="仿宋" w:eastAsia="仿宋_GB2312"/>
          <w:sz w:val="32"/>
          <w:szCs w:val="32"/>
          <w:lang w:eastAsia="zh-CN"/>
        </w:rPr>
        <w:t>民建</w:t>
      </w:r>
      <w:r>
        <w:rPr>
          <w:rFonts w:hint="eastAsia" w:ascii="仿宋_GB2312" w:hAnsi="仿宋" w:eastAsia="仿宋_GB2312"/>
          <w:sz w:val="32"/>
          <w:szCs w:val="32"/>
        </w:rPr>
        <w:t>中央及北京市政府重点工作，部门预算内的工作任务全部按照计划要求完成，通过年度各项工作有序推进落实，有效保障了项目实施进度及产出时效性。</w:t>
      </w:r>
    </w:p>
    <w:p>
      <w:pPr>
        <w:spacing w:line="600" w:lineRule="exact"/>
        <w:ind w:left="105" w:leftChars="50" w:firstLine="480" w:firstLineChars="1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p>
    <w:p>
      <w:pPr>
        <w:spacing w:line="600" w:lineRule="exact"/>
        <w:ind w:left="105" w:leftChars="50" w:firstLine="480" w:firstLineChars="15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2023年整体支出1913.40万元，其中，基本支出1803.61万元，项目支出109.79万元。基本经费支出中人员经费支出1658.63万元，公用经费支出144.97万元。项目预算共</w:t>
      </w:r>
      <w:r>
        <w:rPr>
          <w:rFonts w:hint="eastAsia" w:ascii="仿宋_GB2312" w:hAnsi="仿宋_GB2312" w:eastAsia="仿宋_GB2312" w:cs="仿宋_GB2312"/>
          <w:color w:val="auto"/>
          <w:sz w:val="32"/>
          <w:szCs w:val="32"/>
          <w:shd w:val="clear" w:color="auto" w:fill="FFFFFF"/>
          <w:lang w:val="en-US" w:eastAsia="zh-CN"/>
        </w:rPr>
        <w:t>4</w:t>
      </w:r>
      <w:r>
        <w:rPr>
          <w:rFonts w:hint="eastAsia" w:ascii="仿宋_GB2312" w:hAnsi="仿宋_GB2312" w:eastAsia="仿宋_GB2312" w:cs="仿宋_GB2312"/>
          <w:color w:val="auto"/>
          <w:sz w:val="32"/>
          <w:szCs w:val="32"/>
          <w:shd w:val="clear" w:color="auto" w:fill="FFFFFF"/>
        </w:rPr>
        <w:t>个，即参政议政及组织建设项目支出52.19万元，宣传教育、理论研究及社会服务联络49.24万元，政府会计制度改革及绩效管理8.36万元</w:t>
      </w:r>
      <w:r>
        <w:rPr>
          <w:rFonts w:hint="eastAsia" w:ascii="仿宋_GB2312" w:hAnsi="仿宋_GB2312" w:eastAsia="仿宋_GB2312" w:cs="仿宋_GB2312"/>
          <w:color w:val="auto"/>
          <w:sz w:val="32"/>
          <w:szCs w:val="32"/>
          <w:shd w:val="clear" w:color="auto" w:fill="FFFFFF"/>
          <w:lang w:eastAsia="zh-CN"/>
        </w:rPr>
        <w:t>，机动经费</w:t>
      </w:r>
      <w:r>
        <w:rPr>
          <w:rFonts w:hint="eastAsia" w:ascii="仿宋_GB2312" w:hAnsi="仿宋_GB2312" w:eastAsia="仿宋_GB2312" w:cs="仿宋_GB2312"/>
          <w:color w:val="auto"/>
          <w:sz w:val="32"/>
          <w:szCs w:val="32"/>
          <w:shd w:val="clear" w:color="auto" w:fill="FFFFFF"/>
          <w:lang w:val="en-US" w:eastAsia="zh-CN"/>
        </w:rPr>
        <w:t>0万元</w:t>
      </w:r>
      <w:r>
        <w:rPr>
          <w:rFonts w:hint="eastAsia" w:ascii="仿宋_GB2312" w:hAnsi="仿宋_GB2312" w:eastAsia="仿宋_GB2312" w:cs="仿宋_GB2312"/>
          <w:color w:val="auto"/>
          <w:sz w:val="32"/>
          <w:szCs w:val="32"/>
          <w:shd w:val="clear" w:color="auto" w:fill="FFFFFF"/>
        </w:rPr>
        <w:t>。</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1.经济</w:t>
      </w:r>
      <w:r>
        <w:rPr>
          <w:rFonts w:ascii="仿宋_GB2312" w:hAnsi="宋体" w:eastAsia="仿宋_GB2312" w:cs="宋体"/>
          <w:color w:val="000000"/>
          <w:kern w:val="0"/>
          <w:sz w:val="32"/>
          <w:szCs w:val="32"/>
        </w:rPr>
        <w:t>效益</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仿宋" w:eastAsia="仿宋_GB2312"/>
          <w:sz w:val="32"/>
          <w:szCs w:val="32"/>
        </w:rPr>
        <w:t>民建北京市委全面助力乡村振兴，积极服务“两个健康”，参与抢险救灾和灾后重建，服务经济社会发展的实效进一步彰显。落实“地域+领域”产业帮扶模式，持续推进投资额5000万元的“单采血浆站”项目；在丰宁和黔西累计投入帮扶资金460万元、消费帮扶657万元。对口门头沟区开展新一轮“8+1”行动，实施8个重点项目，以多领域、小切口的方式支持地区发展。</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2.社会效益</w:t>
      </w:r>
    </w:p>
    <w:p>
      <w:pPr>
        <w:pStyle w:val="2"/>
        <w:spacing w:line="560" w:lineRule="exact"/>
        <w:ind w:firstLine="640" w:firstLineChars="200"/>
        <w:jc w:val="both"/>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民建市委充分发挥密切联系经济界的特色优势，找准履职尽责的切入点和突破口，扬优势、促创新、补短板，提出具有战略性、前瞻性、可操作性的意见建议。围绕“新老人消费”“首演经济”“优化营商环境”“平台经济”等方面，形成《拉动“新老人”消费,促进首都经济发展》《全面提升打造“首演经济”，助推全国文化中心城市建设》《强化诉源治理与优化营商环境相结合，助推社会治理能力与体系现代化建设》等十余篇高质量调研成果。同时，《打造企业主导的产学研深度融合新范式 加快建设具有全球影响力的国际科技创新中心》课题组调研成果转化为政党协商材料，在9月议政会作了题为“探索机器人领军企业主导的产学研深度融合新范式”的会议发言。</w:t>
      </w:r>
    </w:p>
    <w:p>
      <w:pPr>
        <w:pStyle w:val="2"/>
        <w:spacing w:line="560" w:lineRule="exact"/>
        <w:ind w:firstLine="640" w:firstLineChars="200"/>
        <w:jc w:val="both"/>
        <w:rPr>
          <w:rFonts w:ascii="仿宋_GB2312" w:hAnsi="仿宋_GB2312" w:eastAsia="仿宋_GB2312" w:cs="仿宋_GB2312"/>
          <w:sz w:val="32"/>
          <w:szCs w:val="32"/>
        </w:rPr>
      </w:pPr>
      <w:r>
        <w:rPr>
          <w:rFonts w:hint="eastAsia" w:ascii="仿宋_GB2312" w:hAnsi="宋体" w:eastAsia="仿宋_GB2312" w:cs="宋体"/>
          <w:color w:val="000000"/>
          <w:kern w:val="0"/>
          <w:sz w:val="32"/>
          <w:szCs w:val="32"/>
        </w:rPr>
        <w:t>面对“23·7”极端强降雨灾害，民建北京市委班子成员带队赴门头沟、房山调研会员企业受灾情况，各级组织和会员企业为受灾地区捐款捐物1085万元，提交各类建议30余篇，积极参与防汛救灾和灾后重建工作。积石山6.2级地震后，各级组织和会员企业向甘肃、青海灾区捐增款物360余万元。</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3.环境效益</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 w:hAnsi="仿宋" w:eastAsia="仿宋" w:cs="仿宋_GB2312"/>
          <w:sz w:val="32"/>
          <w:szCs w:val="32"/>
          <w:lang w:val="zh-TW"/>
        </w:rPr>
        <w:t>未涉及。</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4.可持续</w:t>
      </w:r>
      <w:r>
        <w:rPr>
          <w:rFonts w:ascii="仿宋_GB2312" w:hAnsi="宋体" w:eastAsia="仿宋_GB2312" w:cs="宋体"/>
          <w:color w:val="000000"/>
          <w:kern w:val="0"/>
          <w:sz w:val="32"/>
          <w:szCs w:val="32"/>
        </w:rPr>
        <w:t>性影响</w:t>
      </w:r>
    </w:p>
    <w:p>
      <w:pPr>
        <w:spacing w:line="560" w:lineRule="exact"/>
        <w:ind w:firstLine="640" w:firstLineChars="200"/>
        <w:rPr>
          <w:rFonts w:ascii="仿宋_GB2312" w:hAnsi="仿宋_GB2312" w:eastAsia="仿宋_GB2312" w:cs="仿宋_GB2312"/>
          <w:bCs/>
          <w:kern w:val="0"/>
          <w:sz w:val="32"/>
          <w:szCs w:val="32"/>
          <w:lang w:val="zh-CN"/>
        </w:rPr>
      </w:pPr>
      <w:r>
        <w:rPr>
          <w:rFonts w:hint="eastAsia" w:ascii="仿宋_GB2312" w:hAnsi="仿宋_GB2312" w:eastAsia="仿宋_GB2312" w:cs="仿宋_GB2312"/>
          <w:bCs/>
          <w:kern w:val="0"/>
          <w:sz w:val="32"/>
          <w:szCs w:val="32"/>
          <w:lang w:val="zh-CN"/>
        </w:rPr>
        <w:t>民建北京市委坚持以习近平新时代中国社会主义思想为指导，全面贯彻中共二十大和二十届二中全会精神，深入</w:t>
      </w:r>
      <w:r>
        <w:rPr>
          <w:rFonts w:hint="eastAsia" w:ascii="仿宋_GB2312" w:hAnsi="仿宋_GB2312" w:eastAsia="仿宋_GB2312" w:cs="仿宋_GB2312"/>
          <w:bCs/>
          <w:kern w:val="0"/>
          <w:sz w:val="32"/>
          <w:szCs w:val="32"/>
        </w:rPr>
        <w:t>践行“矢志不渝跟党走，团结奋进新征程”的行动纲领，</w:t>
      </w:r>
      <w:r>
        <w:rPr>
          <w:rFonts w:hint="eastAsia" w:ascii="仿宋_GB2312" w:hAnsi="仿宋_GB2312" w:eastAsia="仿宋_GB2312" w:cs="仿宋_GB2312"/>
          <w:bCs/>
          <w:kern w:val="0"/>
          <w:sz w:val="32"/>
          <w:szCs w:val="32"/>
          <w:lang w:val="zh-CN"/>
        </w:rPr>
        <w:t>坚持建言资政与凝聚共识双向发力，自身建设与履行职能深度融合，树牢</w:t>
      </w:r>
      <w:r>
        <w:rPr>
          <w:rFonts w:hint="eastAsia" w:ascii="仿宋_GB2312" w:hAnsi="仿宋_GB2312" w:eastAsia="仿宋_GB2312" w:cs="仿宋_GB2312"/>
          <w:bCs/>
          <w:kern w:val="0"/>
          <w:sz w:val="32"/>
          <w:szCs w:val="32"/>
        </w:rPr>
        <w:t>首都意识、坚持首善标准</w:t>
      </w:r>
      <w:r>
        <w:rPr>
          <w:rFonts w:hint="eastAsia" w:ascii="仿宋_GB2312" w:hAnsi="仿宋_GB2312" w:eastAsia="仿宋_GB2312" w:cs="仿宋_GB2312"/>
          <w:bCs/>
          <w:kern w:val="0"/>
          <w:sz w:val="32"/>
          <w:szCs w:val="32"/>
          <w:lang w:val="zh-CN"/>
        </w:rPr>
        <w:t>，带领各级组织和广大会员为推进中国式现代化作出北京民建贡献</w:t>
      </w:r>
      <w:r>
        <w:rPr>
          <w:rFonts w:hint="eastAsia" w:ascii="仿宋_GB2312" w:hAnsi="宋体" w:eastAsia="仿宋_GB2312" w:cs="宋体"/>
          <w:color w:val="000000"/>
          <w:kern w:val="0"/>
          <w:sz w:val="32"/>
          <w:szCs w:val="32"/>
        </w:rPr>
        <w:t>，为助推新时代首都高质量发展贡献智慧和力量。</w:t>
      </w:r>
    </w:p>
    <w:p>
      <w:pPr>
        <w:spacing w:line="600" w:lineRule="exact"/>
        <w:ind w:left="105" w:leftChars="50" w:firstLine="480" w:firstLineChars="15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5.服务对象</w:t>
      </w:r>
      <w:r>
        <w:rPr>
          <w:rFonts w:ascii="仿宋_GB2312" w:hAnsi="宋体" w:eastAsia="仿宋_GB2312" w:cs="宋体"/>
          <w:color w:val="000000"/>
          <w:kern w:val="0"/>
          <w:sz w:val="32"/>
          <w:szCs w:val="32"/>
          <w:highlight w:val="none"/>
        </w:rPr>
        <w:t>满意度</w:t>
      </w:r>
    </w:p>
    <w:p>
      <w:pPr>
        <w:spacing w:line="600" w:lineRule="exact"/>
        <w:ind w:firstLine="640" w:firstLineChars="200"/>
        <w:rPr>
          <w:rFonts w:ascii="黑体" w:hAnsi="黑体" w:eastAsia="黑体" w:cs="宋体"/>
          <w:color w:val="000000"/>
          <w:kern w:val="0"/>
          <w:sz w:val="32"/>
          <w:szCs w:val="32"/>
        </w:rPr>
      </w:pPr>
      <w:r>
        <w:rPr>
          <w:rFonts w:hint="eastAsia" w:ascii="仿宋_GB2312" w:hAnsi="仿宋_GB2312" w:eastAsia="仿宋_GB2312" w:cs="仿宋_GB2312"/>
          <w:sz w:val="32"/>
          <w:szCs w:val="32"/>
          <w:highlight w:val="none"/>
        </w:rPr>
        <w:t>民建北京市委2023年工作得到会员认可，满意度不断提高。通过开展“凝心铸魂强根基、团结奋进新征程”主题教育，会员的政治站位和理论水平显著提高。通过完善主委会议、常委会议、全委会议规则，健全理论学习中心组学习、民主生活会、述职和民主评议等工作制度，会务工作更加规范化、科学化。通过建立代表人士数据库和优秀中青年骨干数据库、举办新会员学习班、支部主委学习班等培训活动，</w:t>
      </w:r>
      <w:r>
        <w:rPr>
          <w:rFonts w:hint="eastAsia" w:ascii="仿宋_GB2312" w:hAnsi="仿宋_GB2312" w:eastAsia="仿宋_GB2312" w:cs="仿宋_GB2312"/>
          <w:sz w:val="32"/>
          <w:szCs w:val="32"/>
          <w:highlight w:val="none"/>
          <w:lang w:eastAsia="zh-CN"/>
        </w:rPr>
        <w:t>会员管理更加规范有序，</w:t>
      </w:r>
      <w:r>
        <w:rPr>
          <w:rFonts w:hint="eastAsia" w:ascii="仿宋_GB2312" w:hAnsi="仿宋_GB2312" w:eastAsia="仿宋_GB2312" w:cs="仿宋_GB2312"/>
          <w:sz w:val="32"/>
          <w:szCs w:val="32"/>
          <w:highlight w:val="none"/>
        </w:rPr>
        <w:t>会员履职能力不断增强。</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（一）财务管理</w:t>
      </w:r>
    </w:p>
    <w:p>
      <w:pPr>
        <w:spacing w:line="600" w:lineRule="exact"/>
        <w:ind w:firstLine="640" w:firstLineChars="200"/>
        <w:rPr>
          <w:rFonts w:hint="eastAsia" w:ascii="仿宋_GB2312" w:hAnsi="仿宋_GB2312" w:eastAsia="仿宋_GB2312" w:cs="仿宋_GB2312"/>
          <w:b w:val="0"/>
          <w:bCs w:val="0"/>
          <w:color w:val="auto"/>
          <w:sz w:val="32"/>
          <w:szCs w:val="32"/>
          <w:shd w:val="clear" w:color="auto" w:fill="FFFFFF"/>
        </w:rPr>
      </w:pPr>
      <w:r>
        <w:rPr>
          <w:rFonts w:hint="eastAsia" w:ascii="仿宋_GB2312" w:hAnsi="仿宋_GB2312" w:eastAsia="仿宋_GB2312" w:cs="仿宋_GB2312"/>
          <w:b w:val="0"/>
          <w:bCs w:val="0"/>
          <w:color w:val="auto"/>
          <w:sz w:val="32"/>
          <w:szCs w:val="32"/>
          <w:shd w:val="clear" w:color="auto" w:fill="FFFFFF"/>
        </w:rPr>
        <w:t>1.财务管理制度健全性</w:t>
      </w:r>
    </w:p>
    <w:p>
      <w:pPr>
        <w:spacing w:line="600" w:lineRule="exact"/>
        <w:ind w:firstLine="640" w:firstLineChars="200"/>
        <w:rPr>
          <w:rFonts w:hint="eastAsia" w:ascii="仿宋_GB2312" w:hAnsi="仿宋_GB2312" w:eastAsia="仿宋_GB2312" w:cs="仿宋_GB2312"/>
          <w:b w:val="0"/>
          <w:bCs w:val="0"/>
          <w:color w:val="auto"/>
          <w:sz w:val="32"/>
          <w:szCs w:val="32"/>
          <w:shd w:val="clear" w:color="auto" w:fill="FFFFFF"/>
        </w:rPr>
      </w:pPr>
      <w:r>
        <w:rPr>
          <w:rFonts w:hint="eastAsia" w:ascii="仿宋_GB2312" w:hAnsi="仿宋_GB2312" w:eastAsia="仿宋_GB2312" w:cs="仿宋_GB2312"/>
          <w:b w:val="0"/>
          <w:bCs w:val="0"/>
          <w:color w:val="auto"/>
          <w:sz w:val="32"/>
          <w:szCs w:val="32"/>
          <w:shd w:val="clear" w:color="auto" w:fill="FFFFFF"/>
        </w:rPr>
        <w:t>民建北京市委注重自身建设，制定了财务管理制度，编制了内控管理手册，通过内控管理，在资金审批、预算管理、经费支出、会计核算、资产管理、政府采购等方面对单位经济业务活动和财务管理进行指导、规范、控制和监督，保障日常工作有章可循、稳步推进。</w:t>
      </w:r>
    </w:p>
    <w:p>
      <w:pPr>
        <w:spacing w:line="600" w:lineRule="exact"/>
        <w:ind w:left="105" w:leftChars="50" w:firstLine="480" w:firstLineChars="15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2.资金使用合规性和安全性</w:t>
      </w:r>
    </w:p>
    <w:p>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为确保财政资金使用规范、安全、高效，在资金使用和管理上，严格遵守财经纪律和各项财务管理制度规定，坚持收支平衡原则，量入为出，坚决杜绝无预算、超预算支出行为。资金拨付审批程序完整规范，资金使用安全合规。项目资金严格实行专款专用、单独核算，严禁截留、挪用和超批复内容使用资金，确保项目经费支出合规。</w:t>
      </w:r>
    </w:p>
    <w:p>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3.会计基础信息完善性</w:t>
      </w:r>
    </w:p>
    <w:p>
      <w:pPr>
        <w:spacing w:line="600" w:lineRule="exact"/>
        <w:ind w:firstLine="640" w:firstLineChars="200"/>
        <w:rPr>
          <w:rFonts w:ascii="仿宋" w:hAnsi="仿宋" w:eastAsia="仿宋"/>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严格执行政府会计准则和政府会计制度规定。按照政府会计准则及制度设置会计科目，进行日常会计核算，编制财务会计报表和部门决算报表，会计基础信息较为完善。</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（二）资产管理</w:t>
      </w:r>
    </w:p>
    <w:p>
      <w:pPr>
        <w:spacing w:line="600" w:lineRule="exact"/>
        <w:ind w:firstLine="640" w:firstLineChars="200"/>
        <w:rPr>
          <w:rFonts w:ascii="仿宋" w:hAnsi="仿宋" w:eastAsia="仿宋"/>
          <w:b w:val="0"/>
          <w:bCs w:val="0"/>
          <w:color w:val="auto"/>
          <w:sz w:val="32"/>
          <w:szCs w:val="32"/>
          <w:shd w:val="clear" w:color="auto" w:fill="FFFFFF"/>
        </w:rPr>
      </w:pPr>
      <w:r>
        <w:rPr>
          <w:rFonts w:hint="eastAsia" w:ascii="仿宋_GB2312" w:hAnsi="仿宋_GB2312" w:eastAsia="仿宋_GB2312" w:cs="仿宋_GB2312"/>
          <w:b w:val="0"/>
          <w:bCs w:val="0"/>
          <w:color w:val="auto"/>
          <w:sz w:val="32"/>
          <w:szCs w:val="32"/>
          <w:shd w:val="clear" w:color="auto" w:fill="FFFFFF"/>
        </w:rPr>
        <w:t>根据《行政事业性国有资产管理条例》《行政单位国有资产管理暂行办法》以及北京市财政局相关规定，制定了固定资产管理办法，规范和加强各处室资产管理工作，定期维护行政事业资产管理信息系统中的资产基础信息，每年进行资产盘点，摸清固定资产底数，做到账实相符，维护了国有资产的安全完整、合理配置和有效利用。</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（三）绩效管理</w:t>
      </w:r>
    </w:p>
    <w:p>
      <w:pPr>
        <w:spacing w:line="600" w:lineRule="exact"/>
        <w:ind w:firstLine="640" w:firstLineChars="200"/>
        <w:rPr>
          <w:rFonts w:ascii="仿宋" w:hAnsi="仿宋" w:eastAsia="仿宋"/>
          <w:color w:val="404040"/>
          <w:sz w:val="32"/>
          <w:szCs w:val="32"/>
          <w:shd w:val="clear" w:color="auto" w:fill="FFFFFF"/>
        </w:rPr>
      </w:pPr>
      <w:r>
        <w:rPr>
          <w:rFonts w:hint="eastAsia" w:ascii="仿宋_GB2312" w:hAnsi="仿宋_GB2312" w:eastAsia="仿宋_GB2312" w:cs="仿宋_GB2312"/>
          <w:color w:val="auto"/>
          <w:sz w:val="32"/>
          <w:szCs w:val="32"/>
          <w:shd w:val="clear" w:color="auto" w:fill="FFFFFF"/>
        </w:rPr>
        <w:t>根据北京市财政局的要求，2023年度对纳入2022年部门预算管理的所有填报绩效目标的项目开展绩效自评工作；组织对纳入绩效管理的所有项目上半年执行情况实施绩效监控，对项目的绩效目标实现程度、项目预算资金拨款到位情况及预算执行情况，进行绩效监控，提高预算执行效力和项目资金使用效率。对偏离绩效目标项目和预期无效项目及时采取措施予以纠正。开展成本预算绩效分析，充分利用成本绩效分析形成的成果，强化支出标准对预算核定的约束作用。真正实现预算编制有目标、执行过程有监控、预算完成有评价，不断强化绩效理念并逐步融入预算编制、执行、公开全过程，将降成本、提效益的理念贯穿于各项工作当中。</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（四）结转结余率</w:t>
      </w:r>
    </w:p>
    <w:p>
      <w:pPr>
        <w:spacing w:line="600" w:lineRule="exact"/>
        <w:ind w:firstLine="640" w:firstLineChars="200"/>
        <w:rPr>
          <w:rFonts w:ascii="仿宋" w:hAnsi="仿宋" w:eastAsia="仿宋"/>
          <w:color w:val="404040"/>
          <w:sz w:val="32"/>
          <w:szCs w:val="32"/>
          <w:shd w:val="clear" w:color="auto" w:fill="FFFFFF"/>
        </w:rPr>
      </w:pPr>
      <w:r>
        <w:rPr>
          <w:rFonts w:hint="eastAsia" w:ascii="仿宋_GB2312" w:hAnsi="仿宋_GB2312" w:eastAsia="仿宋_GB2312" w:cs="仿宋_GB2312"/>
          <w:color w:val="auto"/>
          <w:sz w:val="32"/>
          <w:szCs w:val="32"/>
          <w:shd w:val="clear" w:color="auto" w:fill="FFFFFF"/>
        </w:rPr>
        <w:t>202</w:t>
      </w:r>
      <w:r>
        <w:rPr>
          <w:rFonts w:hint="eastAsia" w:ascii="仿宋_GB2312" w:hAnsi="仿宋_GB2312" w:eastAsia="仿宋_GB2312" w:cs="仿宋_GB2312"/>
          <w:color w:val="auto"/>
          <w:sz w:val="32"/>
          <w:szCs w:val="32"/>
          <w:shd w:val="clear" w:color="auto" w:fill="FFFFFF"/>
          <w:lang w:val="en-US" w:eastAsia="zh-CN"/>
        </w:rPr>
        <w:t>3</w:t>
      </w:r>
      <w:r>
        <w:rPr>
          <w:rFonts w:hint="eastAsia" w:ascii="仿宋_GB2312" w:hAnsi="仿宋_GB2312" w:eastAsia="仿宋_GB2312" w:cs="仿宋_GB2312"/>
          <w:color w:val="auto"/>
          <w:sz w:val="32"/>
          <w:szCs w:val="32"/>
          <w:shd w:val="clear" w:color="auto" w:fill="FFFFFF"/>
        </w:rPr>
        <w:t>年民建北京市委全年预算数为1986.15元，年末结余结转金额为72.75万元，结余结转率3.66%。本年结转结余率较上年1.71%增加1.95个百分点。</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（五）部门</w:t>
      </w:r>
      <w:r>
        <w:rPr>
          <w:rFonts w:ascii="楷体_GB2312" w:eastAsia="楷体_GB2312"/>
          <w:sz w:val="32"/>
          <w:szCs w:val="32"/>
        </w:rPr>
        <w:t>预决算差异率</w:t>
      </w:r>
    </w:p>
    <w:p>
      <w:pPr>
        <w:spacing w:line="600" w:lineRule="exact"/>
        <w:ind w:left="105" w:leftChars="50" w:firstLine="480" w:firstLineChars="150"/>
        <w:rPr>
          <w:rFonts w:ascii="黑体" w:hAnsi="黑体" w:eastAsia="黑体"/>
          <w:sz w:val="32"/>
          <w:szCs w:val="32"/>
        </w:rPr>
      </w:pPr>
      <w:r>
        <w:rPr>
          <w:rFonts w:hint="eastAsia" w:ascii="仿宋_GB2312" w:hAnsi="宋体" w:eastAsia="仿宋_GB2312" w:cs="宋体"/>
          <w:color w:val="000000"/>
          <w:kern w:val="0"/>
          <w:sz w:val="32"/>
          <w:szCs w:val="32"/>
        </w:rPr>
        <w:t>2023年年初预算数为2077.62万元，决算数为</w:t>
      </w:r>
      <w:r>
        <w:rPr>
          <w:rFonts w:hint="eastAsia" w:ascii="仿宋" w:hAnsi="仿宋" w:eastAsia="仿宋"/>
          <w:color w:val="auto"/>
          <w:sz w:val="32"/>
          <w:szCs w:val="32"/>
          <w:shd w:val="clear" w:color="auto" w:fill="FFFFFF"/>
        </w:rPr>
        <w:t>1986.15</w:t>
      </w:r>
      <w:r>
        <w:rPr>
          <w:rFonts w:hint="eastAsia" w:ascii="仿宋_GB2312" w:hAnsi="宋体" w:eastAsia="仿宋_GB2312" w:cs="宋体"/>
          <w:color w:val="000000"/>
          <w:kern w:val="0"/>
          <w:sz w:val="32"/>
          <w:szCs w:val="32"/>
        </w:rPr>
        <w:t>万元，差额为91.47万元，部门预决算差异率4.40%，部门预决算差异率远低于市级平均差异率（28.3%），说明我部门预决算差异率控制情况较好，预算管理水平不断提升。</w:t>
      </w:r>
    </w:p>
    <w:p>
      <w:pPr>
        <w:spacing w:line="600" w:lineRule="exact"/>
        <w:ind w:left="105" w:leftChars="50" w:firstLine="480" w:firstLineChars="15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pPr>
        <w:spacing w:line="600" w:lineRule="exact"/>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2023年整体绩效评价指标体系评分9</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49</w:t>
      </w:r>
      <w:r>
        <w:rPr>
          <w:rFonts w:hint="eastAsia" w:ascii="仿宋_GB2312" w:hAnsi="仿宋_GB2312" w:eastAsia="仿宋_GB2312" w:cs="仿宋_GB2312"/>
          <w:sz w:val="32"/>
          <w:szCs w:val="32"/>
        </w:rPr>
        <w:t>分，其中当年预算执行情况19.27分，整体绩效目标实现情况</w:t>
      </w:r>
      <w:r>
        <w:rPr>
          <w:rFonts w:hint="eastAsia" w:ascii="仿宋_GB2312" w:hAnsi="仿宋_GB2312" w:eastAsia="仿宋_GB2312" w:cs="仿宋_GB2312"/>
          <w:sz w:val="32"/>
          <w:szCs w:val="32"/>
          <w:lang w:val="en-US" w:eastAsia="zh-CN"/>
        </w:rPr>
        <w:t>59.5</w:t>
      </w:r>
      <w:r>
        <w:rPr>
          <w:rFonts w:hint="eastAsia" w:ascii="仿宋_GB2312" w:hAnsi="仿宋_GB2312" w:eastAsia="仿宋_GB2312" w:cs="仿宋_GB2312"/>
          <w:sz w:val="32"/>
          <w:szCs w:val="32"/>
        </w:rPr>
        <w:t>分，预算管理情况1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2分。</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（二）存在的问题及原因分析</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整体支出情况较好，预算执行率达到96.34%，全面完成预算目标，财政资金得到有效利用。但是部门绩效目标不够细化，部门整体绩效目标设定主要依据为部门职责和年度重点工作任务，整体绩效目标设定的科学性、明确性有待进一步提高。指标量化不够，如质量指标和效益指标量化和细化不足，不利于后期考核。由于工作性质的原因，部分项目绩效目标设定存在困难。</w:t>
      </w:r>
    </w:p>
    <w:p>
      <w:pPr>
        <w:spacing w:line="600" w:lineRule="exact"/>
        <w:ind w:firstLine="640" w:firstLineChars="200"/>
        <w:rPr>
          <w:rFonts w:ascii="仿宋_GB2312" w:hAnsi="宋体" w:eastAsia="仿宋_GB2312" w:cs="宋体"/>
          <w:color w:val="000000"/>
          <w:kern w:val="0"/>
          <w:sz w:val="32"/>
          <w:szCs w:val="32"/>
        </w:rPr>
      </w:pPr>
      <w:r>
        <w:rPr>
          <w:rFonts w:hint="eastAsia" w:ascii="黑体" w:hAnsi="黑体" w:eastAsia="黑体" w:cs="宋体"/>
          <w:color w:val="000000"/>
          <w:kern w:val="0"/>
          <w:sz w:val="32"/>
          <w:szCs w:val="32"/>
        </w:rPr>
        <w:t>六、措施建议</w:t>
      </w:r>
    </w:p>
    <w:p>
      <w:pPr>
        <w:spacing w:line="600" w:lineRule="exact"/>
        <w:ind w:firstLine="640" w:firstLineChars="200"/>
        <w:rPr>
          <w:sz w:val="32"/>
          <w:szCs w:val="32"/>
        </w:rPr>
      </w:pPr>
      <w:bookmarkStart w:id="0" w:name="_Toc103006301"/>
      <w:r>
        <w:rPr>
          <w:rFonts w:hint="eastAsia" w:ascii="仿宋_GB2312" w:hAnsi="仿宋_GB2312" w:eastAsia="仿宋_GB2312" w:cs="仿宋_GB2312"/>
          <w:sz w:val="32"/>
          <w:szCs w:val="32"/>
          <w:lang w:eastAsia="zh-CN"/>
        </w:rPr>
        <w:t>我们将</w:t>
      </w:r>
      <w:r>
        <w:rPr>
          <w:rFonts w:hint="eastAsia" w:ascii="仿宋_GB2312" w:hAnsi="仿宋_GB2312" w:eastAsia="仿宋_GB2312" w:cs="仿宋_GB2312"/>
          <w:sz w:val="32"/>
          <w:szCs w:val="32"/>
        </w:rPr>
        <w:t>准确把握年度工作重点，对预算资金合理排序，统筹兼顾，保障重点，增强预算资金与工作需求的匹配程度</w:t>
      </w:r>
      <w:r>
        <w:rPr>
          <w:rFonts w:hint="eastAsia" w:ascii="仿宋_GB2312" w:hAnsi="仿宋_GB2312" w:eastAsia="仿宋_GB2312" w:cs="仿宋_GB2312"/>
          <w:sz w:val="32"/>
          <w:szCs w:val="32"/>
          <w:lang w:eastAsia="zh-CN"/>
        </w:rPr>
        <w:t>；充分考虑到各种因素对预算资金使用的影响，在预算执行过程中及时调整支出方向和金额；</w:t>
      </w:r>
      <w:r>
        <w:rPr>
          <w:rFonts w:hint="eastAsia" w:ascii="仿宋_GB2312" w:hAnsi="仿宋_GB2312" w:eastAsia="仿宋_GB2312" w:cs="仿宋_GB2312"/>
          <w:sz w:val="32"/>
          <w:szCs w:val="32"/>
        </w:rPr>
        <w:t>全面提高部门预算编制工作的科学化精细化水平，</w:t>
      </w:r>
      <w:bookmarkStart w:id="1" w:name="_GoBack"/>
      <w:bookmarkEnd w:id="1"/>
      <w:r>
        <w:rPr>
          <w:rFonts w:hint="eastAsia" w:ascii="仿宋_GB2312" w:hAnsi="仿宋_GB2312" w:eastAsia="仿宋_GB2312" w:cs="仿宋_GB2312"/>
          <w:sz w:val="32"/>
          <w:szCs w:val="32"/>
        </w:rPr>
        <w:t>开创预算管理工作的新篇章。</w:t>
      </w:r>
    </w:p>
    <w:p>
      <w:pPr>
        <w:pStyle w:val="3"/>
        <w:rPr>
          <w:sz w:val="32"/>
          <w:szCs w:val="32"/>
        </w:rPr>
      </w:pPr>
      <w:r>
        <w:rPr>
          <w:rFonts w:hint="eastAsia"/>
          <w:sz w:val="32"/>
          <w:szCs w:val="32"/>
        </w:rPr>
        <w:t>七、附件</w:t>
      </w:r>
      <w:bookmarkEnd w:id="0"/>
    </w:p>
    <w:p>
      <w:pPr>
        <w:spacing w:line="600" w:lineRule="exact"/>
        <w:ind w:firstLine="641"/>
        <w:rPr>
          <w:rFonts w:ascii="仿宋_GB2312" w:hAnsi="仿宋_GB2312" w:eastAsia="仿宋_GB2312" w:cs="仿宋_GB2312"/>
          <w:sz w:val="32"/>
          <w:szCs w:val="32"/>
        </w:rPr>
        <w:sectPr>
          <w:headerReference r:id="rId4" w:type="default"/>
          <w:footerReference r:id="rId5" w:type="default"/>
          <w:pgSz w:w="11906" w:h="16838"/>
          <w:pgMar w:top="1440" w:right="1800" w:bottom="1440" w:left="1800" w:header="851" w:footer="964" w:gutter="0"/>
          <w:pgNumType w:start="1"/>
          <w:cols w:space="720" w:num="1"/>
          <w:docGrid w:type="lines" w:linePitch="435"/>
        </w:sectPr>
      </w:pPr>
      <w:r>
        <w:rPr>
          <w:rFonts w:hint="eastAsia" w:ascii="仿宋_GB2312" w:hAnsi="仿宋_GB2312" w:eastAsia="仿宋_GB2312" w:cs="仿宋_GB2312"/>
          <w:sz w:val="32"/>
          <w:szCs w:val="32"/>
        </w:rPr>
        <w:t>2023年部门整体绩效评价指标体系评分表</w:t>
      </w:r>
    </w:p>
    <w:p>
      <w:pPr>
        <w:spacing w:line="560" w:lineRule="exact"/>
        <w:jc w:val="left"/>
        <w:rPr>
          <w:rFonts w:ascii="方正黑体_GBK" w:hAnsi="方正黑体_GBK" w:eastAsia="方正黑体_GBK" w:cs="方正黑体_GBK"/>
          <w:sz w:val="32"/>
        </w:rPr>
      </w:pPr>
      <w:r>
        <w:rPr>
          <w:rFonts w:hint="eastAsia" w:ascii="方正黑体_GBK" w:hAnsi="方正黑体_GBK" w:eastAsia="方正黑体_GBK" w:cs="方正黑体_GBK"/>
          <w:sz w:val="32"/>
        </w:rPr>
        <w:t>附件4-1</w:t>
      </w:r>
    </w:p>
    <w:tbl>
      <w:tblPr>
        <w:tblW w:w="1417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75"/>
        <w:gridCol w:w="672"/>
        <w:gridCol w:w="1590"/>
        <w:gridCol w:w="1140"/>
        <w:gridCol w:w="1466"/>
        <w:gridCol w:w="777"/>
        <w:gridCol w:w="848"/>
        <w:gridCol w:w="2926"/>
        <w:gridCol w:w="3580"/>
      </w:tblGrid>
      <w:tr>
        <w:trPr>
          <w:cantSplit/>
          <w:trHeight w:val="90" w:hRule="atLeast"/>
        </w:trPr>
        <w:tc>
          <w:tcPr>
            <w:tcW w:w="14174" w:type="dxa"/>
            <w:gridSpan w:val="9"/>
            <w:tcBorders>
              <w:top w:val="nil"/>
              <w:left w:val="nil"/>
              <w:bottom w:val="single" w:color="auto" w:sz="4" w:space="0"/>
              <w:right w:val="nil"/>
            </w:tcBorders>
            <w:vAlign w:val="bottom"/>
          </w:tcPr>
          <w:p>
            <w:pPr>
              <w:widowControl/>
              <w:jc w:val="center"/>
              <w:rPr>
                <w:rFonts w:ascii="方正小标宋简体" w:hAnsi="黑体" w:eastAsia="方正小标宋简体" w:cs="宋体"/>
                <w:color w:val="000000"/>
                <w:kern w:val="0"/>
                <w:sz w:val="44"/>
                <w:szCs w:val="44"/>
                <w:highlight w:val="yellow"/>
              </w:rPr>
            </w:pPr>
            <w:r>
              <w:rPr>
                <w:rFonts w:hint="eastAsia" w:ascii="方正小标宋简体" w:hAnsi="黑体" w:eastAsia="方正小标宋简体" w:cs="宋体"/>
                <w:color w:val="000000"/>
                <w:kern w:val="0"/>
                <w:sz w:val="44"/>
                <w:szCs w:val="44"/>
              </w:rPr>
              <w:t>2023年部门整体绩效评价指标体系评分表</w:t>
            </w:r>
          </w:p>
        </w:tc>
      </w:tr>
      <w:tr>
        <w:trPr>
          <w:cantSplit/>
          <w:trHeight w:val="470" w:hRule="atLeast"/>
        </w:trPr>
        <w:tc>
          <w:tcPr>
            <w:tcW w:w="14174" w:type="dxa"/>
            <w:gridSpan w:val="9"/>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w:t>
            </w:r>
            <w:r>
              <w:rPr>
                <w:rFonts w:hint="eastAsia" w:ascii="宋体" w:hAnsi="宋体" w:cs="宋体"/>
                <w:color w:val="000000"/>
                <w:kern w:val="0"/>
                <w:sz w:val="20"/>
                <w:szCs w:val="20"/>
              </w:rPr>
              <w:t>当年预算执行情况（20分）</w:t>
            </w:r>
          </w:p>
        </w:tc>
      </w:tr>
      <w:tr>
        <w:trPr>
          <w:cantSplit/>
          <w:trHeight w:val="660" w:hRule="atLeast"/>
        </w:trPr>
        <w:tc>
          <w:tcPr>
            <w:tcW w:w="11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6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预算数（万元）</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执行数（万元）</w:t>
            </w:r>
          </w:p>
        </w:tc>
        <w:tc>
          <w:tcPr>
            <w:tcW w:w="14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预算执行率</w:t>
            </w:r>
          </w:p>
        </w:tc>
        <w:tc>
          <w:tcPr>
            <w:tcW w:w="7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29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指标解释</w:t>
            </w:r>
          </w:p>
        </w:tc>
        <w:tc>
          <w:tcPr>
            <w:tcW w:w="35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评分标准</w:t>
            </w:r>
          </w:p>
        </w:tc>
      </w:tr>
      <w:tr>
        <w:trPr>
          <w:cantSplit/>
          <w:trHeight w:val="630" w:hRule="atLeast"/>
        </w:trPr>
        <w:tc>
          <w:tcPr>
            <w:tcW w:w="1175"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当年预算执行情况（20）</w:t>
            </w:r>
          </w:p>
        </w:tc>
        <w:tc>
          <w:tcPr>
            <w:tcW w:w="6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资金总体</w:t>
            </w:r>
          </w:p>
        </w:tc>
        <w:tc>
          <w:tcPr>
            <w:tcW w:w="1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1986.15　</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1913.4　</w:t>
            </w:r>
          </w:p>
        </w:tc>
        <w:tc>
          <w:tcPr>
            <w:tcW w:w="14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96.34%</w:t>
            </w:r>
          </w:p>
        </w:tc>
        <w:tc>
          <w:tcPr>
            <w:tcW w:w="77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84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19.27　</w:t>
            </w:r>
          </w:p>
        </w:tc>
        <w:tc>
          <w:tcPr>
            <w:tcW w:w="2926"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部门全年执行数与全年预算数的比率。资金总体=基本支出+项目支出+其他</w:t>
            </w:r>
          </w:p>
        </w:tc>
        <w:tc>
          <w:tcPr>
            <w:tcW w:w="3580" w:type="dxa"/>
            <w:vMerge w:val="restar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①得分一档最高不能超过该指标分值上限（20分）。</w:t>
            </w:r>
            <w:r>
              <w:rPr>
                <w:rFonts w:hint="eastAsia" w:ascii="宋体" w:hAnsi="宋体" w:cs="宋体"/>
                <w:color w:val="000000"/>
                <w:kern w:val="0"/>
                <w:sz w:val="18"/>
                <w:szCs w:val="18"/>
              </w:rPr>
              <w:br/>
            </w:r>
            <w:r>
              <w:rPr>
                <w:rFonts w:hint="eastAsia" w:ascii="宋体" w:hAnsi="宋体" w:cs="宋体"/>
                <w:color w:val="000000"/>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rPr>
          <w:cantSplit/>
          <w:trHeight w:val="600"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基本支出</w:t>
            </w:r>
          </w:p>
        </w:tc>
        <w:tc>
          <w:tcPr>
            <w:tcW w:w="1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1846.52　</w:t>
            </w:r>
          </w:p>
        </w:tc>
        <w:tc>
          <w:tcPr>
            <w:tcW w:w="11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1803.61　</w:t>
            </w:r>
          </w:p>
        </w:tc>
        <w:tc>
          <w:tcPr>
            <w:tcW w:w="146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7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29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615"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项目支出</w:t>
            </w:r>
          </w:p>
        </w:tc>
        <w:tc>
          <w:tcPr>
            <w:tcW w:w="1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139.63　</w:t>
            </w:r>
          </w:p>
        </w:tc>
        <w:tc>
          <w:tcPr>
            <w:tcW w:w="11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109.79　</w:t>
            </w:r>
          </w:p>
        </w:tc>
        <w:tc>
          <w:tcPr>
            <w:tcW w:w="14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29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2136"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w:t>
            </w:r>
          </w:p>
        </w:tc>
        <w:tc>
          <w:tcPr>
            <w:tcW w:w="159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4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29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479" w:hRule="atLeast"/>
        </w:trPr>
        <w:tc>
          <w:tcPr>
            <w:tcW w:w="14174" w:type="dxa"/>
            <w:gridSpan w:val="9"/>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20"/>
                <w:szCs w:val="20"/>
              </w:rPr>
              <w:t>整体绩效目标实现情况（60分）</w:t>
            </w:r>
          </w:p>
        </w:tc>
      </w:tr>
      <w:tr>
        <w:trPr>
          <w:cantSplit/>
          <w:trHeight w:val="499" w:hRule="atLeast"/>
        </w:trPr>
        <w:tc>
          <w:tcPr>
            <w:tcW w:w="11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67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59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1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146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77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48"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29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35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rPr>
          <w:cantSplit/>
          <w:trHeight w:val="1196" w:hRule="atLeast"/>
        </w:trPr>
        <w:tc>
          <w:tcPr>
            <w:tcW w:w="117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整体绩效目标实现情况（60）</w:t>
            </w:r>
          </w:p>
        </w:tc>
        <w:tc>
          <w:tcPr>
            <w:tcW w:w="672" w:type="dxa"/>
            <w:vMerge w:val="restart"/>
            <w:tcBorders>
              <w:top w:val="single" w:color="auto" w:sz="4" w:space="0"/>
              <w:left w:val="nil"/>
              <w:right w:val="single" w:color="auto" w:sz="4" w:space="0"/>
            </w:tcBorders>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hint="eastAsia" w:ascii="宋体" w:hAnsi="宋体" w:cs="宋体"/>
                <w:color w:val="000000"/>
                <w:kern w:val="0"/>
                <w:sz w:val="20"/>
                <w:szCs w:val="20"/>
              </w:rPr>
              <w:t>产出（30）</w:t>
            </w:r>
          </w:p>
        </w:tc>
        <w:tc>
          <w:tcPr>
            <w:tcW w:w="159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形成调研报告</w:t>
            </w:r>
          </w:p>
        </w:tc>
        <w:tc>
          <w:tcPr>
            <w:tcW w:w="114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≥10篇</w:t>
            </w:r>
          </w:p>
        </w:tc>
        <w:tc>
          <w:tcPr>
            <w:tcW w:w="146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15</w:t>
            </w:r>
            <w:r>
              <w:rPr>
                <w:rFonts w:hint="eastAsia" w:ascii="宋体" w:hAnsi="宋体" w:cs="宋体"/>
                <w:kern w:val="0"/>
                <w:sz w:val="18"/>
                <w:szCs w:val="18"/>
              </w:rPr>
              <w:t>篇</w:t>
            </w:r>
          </w:p>
        </w:tc>
        <w:tc>
          <w:tcPr>
            <w:tcW w:w="777" w:type="dxa"/>
            <w:vMerge w:val="restart"/>
            <w:tcBorders>
              <w:top w:val="single" w:color="auto" w:sz="4" w:space="0"/>
              <w:left w:val="nil"/>
              <w:bottom w:val="single" w:color="auto" w:sz="4" w:space="0"/>
              <w:right w:val="single" w:color="auto" w:sz="4" w:space="0"/>
            </w:tcBorders>
            <w:vAlign w:val="center"/>
          </w:tcPr>
          <w:p>
            <w:pPr>
              <w:widowControl/>
              <w:jc w:val="center"/>
            </w:pPr>
          </w:p>
          <w:p>
            <w:pPr>
              <w:pStyle w:val="5"/>
              <w:ind w:left="1470" w:right="1470"/>
            </w:pPr>
            <w:r>
              <w:rPr>
                <w:rFonts w:hint="eastAsia"/>
              </w:rPr>
              <w:t>2300</w:t>
            </w:r>
          </w:p>
          <w:p/>
          <w:p/>
          <w:p/>
          <w:p/>
          <w:p>
            <w:pPr>
              <w:ind w:firstLine="251"/>
              <w:jc w:val="left"/>
              <w:rPr>
                <w:rFonts w:ascii="宋体" w:hAnsi="宋体" w:cs="宋体"/>
                <w:sz w:val="20"/>
                <w:szCs w:val="20"/>
              </w:rPr>
            </w:pPr>
            <w:r>
              <w:rPr>
                <w:rFonts w:hint="eastAsia" w:ascii="宋体" w:hAnsi="宋体" w:cs="宋体"/>
                <w:sz w:val="20"/>
                <w:szCs w:val="20"/>
              </w:rPr>
              <w:t>30</w:t>
            </w:r>
          </w:p>
          <w:p>
            <w:pPr>
              <w:pStyle w:val="5"/>
              <w:ind w:left="1470" w:right="1470"/>
            </w:pPr>
          </w:p>
        </w:tc>
        <w:tc>
          <w:tcPr>
            <w:tcW w:w="848"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hint="eastAsia" w:ascii="宋体" w:hAnsi="宋体" w:cs="宋体"/>
                <w:color w:val="000000"/>
                <w:kern w:val="0"/>
                <w:sz w:val="20"/>
                <w:szCs w:val="20"/>
              </w:rPr>
              <w:t>3　</w:t>
            </w:r>
          </w:p>
        </w:tc>
        <w:tc>
          <w:tcPr>
            <w:tcW w:w="2926"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产出数量</w:t>
            </w:r>
            <w:r>
              <w:rPr>
                <w:rFonts w:hint="eastAsia" w:ascii="宋体" w:hAnsi="宋体" w:cs="宋体"/>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rPr>
              <w:t>产出质量</w:t>
            </w:r>
            <w:r>
              <w:rPr>
                <w:rFonts w:hint="eastAsia" w:ascii="宋体" w:hAnsi="宋体" w:cs="宋体"/>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rPr>
              <w:t>产出进度：</w:t>
            </w:r>
            <w:r>
              <w:rPr>
                <w:rFonts w:hint="eastAsia" w:ascii="宋体" w:hAnsi="宋体" w:cs="宋体"/>
                <w:color w:val="000000"/>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rPr>
              <w:t>产出成本</w:t>
            </w:r>
            <w:r>
              <w:rPr>
                <w:rFonts w:hint="eastAsia" w:ascii="宋体" w:hAnsi="宋体" w:cs="宋体"/>
                <w:color w:val="000000"/>
                <w:kern w:val="0"/>
                <w:sz w:val="18"/>
                <w:szCs w:val="18"/>
              </w:rPr>
              <w:t>：单位产出相对于上一年度的节约额；②单位产出相对于市场同类产出的节约额；③部门公用经费的控制情况。</w:t>
            </w:r>
          </w:p>
        </w:tc>
        <w:tc>
          <w:tcPr>
            <w:tcW w:w="3580"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trPr>
          <w:cantSplit/>
          <w:trHeight w:val="1130"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培训新会员人数</w:t>
            </w:r>
          </w:p>
        </w:tc>
        <w:tc>
          <w:tcPr>
            <w:tcW w:w="114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≥300人</w:t>
            </w:r>
          </w:p>
        </w:tc>
        <w:tc>
          <w:tcPr>
            <w:tcW w:w="146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247</w:t>
            </w:r>
            <w:r>
              <w:rPr>
                <w:rFonts w:hint="eastAsia" w:ascii="宋体" w:hAnsi="宋体" w:cs="宋体"/>
                <w:kern w:val="0"/>
                <w:sz w:val="18"/>
                <w:szCs w:val="18"/>
              </w:rPr>
              <w:t>人</w:t>
            </w:r>
          </w:p>
        </w:tc>
        <w:tc>
          <w:tcPr>
            <w:tcW w:w="777" w:type="dxa"/>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1.5</w:t>
            </w:r>
            <w:r>
              <w:rPr>
                <w:rFonts w:hint="eastAsia" w:ascii="宋体" w:hAnsi="宋体" w:cs="宋体"/>
                <w:color w:val="000000"/>
                <w:kern w:val="0"/>
                <w:sz w:val="20"/>
                <w:szCs w:val="20"/>
              </w:rPr>
              <w:t>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1258"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90"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开办新会员学习班</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=2次</w:t>
            </w:r>
          </w:p>
        </w:tc>
        <w:tc>
          <w:tcPr>
            <w:tcW w:w="146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2次</w:t>
            </w:r>
          </w:p>
        </w:tc>
        <w:tc>
          <w:tcPr>
            <w:tcW w:w="777"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975"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90"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社情民意信息报送</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≥200篇</w:t>
            </w:r>
          </w:p>
        </w:tc>
        <w:tc>
          <w:tcPr>
            <w:tcW w:w="146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555篇</w:t>
            </w:r>
          </w:p>
        </w:tc>
        <w:tc>
          <w:tcPr>
            <w:tcW w:w="777"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975"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90"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举办建华课堂</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=2次</w:t>
            </w:r>
          </w:p>
        </w:tc>
        <w:tc>
          <w:tcPr>
            <w:tcW w:w="146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3</w:t>
            </w:r>
            <w:r>
              <w:rPr>
                <w:rFonts w:hint="eastAsia" w:ascii="宋体" w:hAnsi="宋体" w:cs="宋体"/>
                <w:kern w:val="0"/>
                <w:sz w:val="18"/>
                <w:szCs w:val="18"/>
              </w:rPr>
              <w:t>次</w:t>
            </w:r>
          </w:p>
        </w:tc>
        <w:tc>
          <w:tcPr>
            <w:tcW w:w="777"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975"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90"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出版《北京民建》</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=12期</w:t>
            </w:r>
          </w:p>
        </w:tc>
        <w:tc>
          <w:tcPr>
            <w:tcW w:w="146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12期</w:t>
            </w:r>
          </w:p>
        </w:tc>
        <w:tc>
          <w:tcPr>
            <w:tcW w:w="777"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975"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90"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完成市委重点理论研究课题</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=2篇</w:t>
            </w:r>
          </w:p>
          <w:p>
            <w:pPr>
              <w:widowControl/>
              <w:spacing w:line="240" w:lineRule="exact"/>
              <w:jc w:val="center"/>
              <w:rPr>
                <w:rFonts w:ascii="宋体" w:hAnsi="宋体" w:cs="宋体"/>
                <w:kern w:val="0"/>
                <w:sz w:val="18"/>
                <w:szCs w:val="18"/>
              </w:rPr>
            </w:pPr>
          </w:p>
        </w:tc>
        <w:tc>
          <w:tcPr>
            <w:tcW w:w="146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3</w:t>
            </w:r>
            <w:r>
              <w:rPr>
                <w:rFonts w:hint="eastAsia" w:ascii="宋体" w:hAnsi="宋体" w:cs="宋体"/>
                <w:kern w:val="0"/>
                <w:sz w:val="18"/>
                <w:szCs w:val="18"/>
              </w:rPr>
              <w:t>篇</w:t>
            </w:r>
          </w:p>
        </w:tc>
        <w:tc>
          <w:tcPr>
            <w:tcW w:w="777"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975"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90"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参与定点帮扶</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w:t>
            </w:r>
            <w:r>
              <w:rPr>
                <w:rFonts w:hint="eastAsia" w:ascii="宋体" w:hAnsi="宋体" w:cs="宋体"/>
                <w:kern w:val="0"/>
                <w:sz w:val="18"/>
                <w:szCs w:val="18"/>
              </w:rPr>
              <w:t>200人次</w:t>
            </w:r>
          </w:p>
        </w:tc>
        <w:tc>
          <w:tcPr>
            <w:tcW w:w="1466"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230</w:t>
            </w:r>
          </w:p>
        </w:tc>
        <w:tc>
          <w:tcPr>
            <w:tcW w:w="777"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975"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90"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sz w:val="18"/>
                <w:szCs w:val="18"/>
              </w:rPr>
            </w:pPr>
            <w:r>
              <w:rPr>
                <w:rStyle w:val="10"/>
                <w:rFonts w:hint="default"/>
              </w:rPr>
              <w:t>高质量完成理论研究课题，多渠道转化研究成果</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定性</w:t>
            </w:r>
          </w:p>
        </w:tc>
        <w:tc>
          <w:tcPr>
            <w:tcW w:w="146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w:t>
            </w:r>
          </w:p>
        </w:tc>
        <w:tc>
          <w:tcPr>
            <w:tcW w:w="777"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975"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90"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高质量完成各项机动任务</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定性</w:t>
            </w:r>
          </w:p>
        </w:tc>
        <w:tc>
          <w:tcPr>
            <w:tcW w:w="146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w:t>
            </w:r>
          </w:p>
        </w:tc>
        <w:tc>
          <w:tcPr>
            <w:tcW w:w="777"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975"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90"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年内完成换届工作</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定性</w:t>
            </w:r>
          </w:p>
        </w:tc>
        <w:tc>
          <w:tcPr>
            <w:tcW w:w="146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w:t>
            </w:r>
          </w:p>
        </w:tc>
        <w:tc>
          <w:tcPr>
            <w:tcW w:w="777"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975"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90"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年内完成市财政局安排的各项财务工作</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定性</w:t>
            </w:r>
          </w:p>
        </w:tc>
        <w:tc>
          <w:tcPr>
            <w:tcW w:w="146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w:t>
            </w:r>
          </w:p>
        </w:tc>
        <w:tc>
          <w:tcPr>
            <w:tcW w:w="777"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48" w:type="dxa"/>
            <w:tcBorders>
              <w:top w:val="nil"/>
              <w:left w:val="nil"/>
              <w:bottom w:val="single" w:color="auto" w:sz="4" w:space="0"/>
              <w:right w:val="nil"/>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20"/>
                <w:szCs w:val="20"/>
              </w:rPr>
              <w:t>3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675"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效果（30）</w:t>
            </w:r>
          </w:p>
        </w:tc>
        <w:tc>
          <w:tcPr>
            <w:tcW w:w="1590"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kern w:val="0"/>
                <w:sz w:val="18"/>
                <w:szCs w:val="18"/>
              </w:rPr>
              <w:t>促进新一届民建市委的工作</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kern w:val="0"/>
                <w:sz w:val="18"/>
                <w:szCs w:val="18"/>
              </w:rPr>
              <w:t>定性</w:t>
            </w:r>
          </w:p>
        </w:tc>
        <w:tc>
          <w:tcPr>
            <w:tcW w:w="146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20"/>
                <w:szCs w:val="20"/>
              </w:rPr>
            </w:pPr>
            <w:r>
              <w:rPr>
                <w:rFonts w:hint="eastAsia" w:ascii="宋体" w:hAnsi="宋体" w:cs="宋体"/>
                <w:kern w:val="0"/>
                <w:sz w:val="18"/>
                <w:szCs w:val="18"/>
              </w:rPr>
              <w:t>完成</w:t>
            </w:r>
          </w:p>
        </w:tc>
        <w:tc>
          <w:tcPr>
            <w:tcW w:w="777"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　</w:t>
            </w:r>
          </w:p>
        </w:tc>
        <w:tc>
          <w:tcPr>
            <w:tcW w:w="2926" w:type="dxa"/>
            <w:vMerge w:val="restar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经济效益</w:t>
            </w:r>
            <w:r>
              <w:rPr>
                <w:rFonts w:hint="eastAsia" w:ascii="宋体" w:hAnsi="宋体" w:cs="宋体"/>
                <w:color w:val="000000"/>
                <w:kern w:val="0"/>
                <w:sz w:val="18"/>
                <w:szCs w:val="18"/>
              </w:rPr>
              <w:t>：部门（单位）履行职责对经济发展所带来的直接或间接影响。</w:t>
            </w:r>
            <w:r>
              <w:rPr>
                <w:rFonts w:hint="eastAsia" w:ascii="宋体" w:hAnsi="宋体" w:cs="宋体"/>
                <w:b/>
                <w:bCs/>
                <w:color w:val="000000"/>
                <w:kern w:val="0"/>
                <w:sz w:val="18"/>
                <w:szCs w:val="18"/>
              </w:rPr>
              <w:t>社会效益</w:t>
            </w:r>
            <w:r>
              <w:rPr>
                <w:rFonts w:hint="eastAsia" w:ascii="宋体" w:hAnsi="宋体" w:cs="宋体"/>
                <w:color w:val="000000"/>
                <w:kern w:val="0"/>
                <w:sz w:val="18"/>
                <w:szCs w:val="18"/>
              </w:rPr>
              <w:t>：部门（单位）履行职责对社会发展所带来的直接或间接影响。</w:t>
            </w:r>
            <w:r>
              <w:rPr>
                <w:rFonts w:hint="eastAsia" w:ascii="宋体" w:hAnsi="宋体" w:cs="宋体"/>
                <w:b/>
                <w:bCs/>
                <w:color w:val="000000"/>
                <w:kern w:val="0"/>
                <w:sz w:val="18"/>
                <w:szCs w:val="18"/>
              </w:rPr>
              <w:t>环境效益</w:t>
            </w:r>
            <w:r>
              <w:rPr>
                <w:rFonts w:hint="eastAsia" w:ascii="宋体" w:hAnsi="宋体" w:cs="宋体"/>
                <w:color w:val="000000"/>
                <w:kern w:val="0"/>
                <w:sz w:val="18"/>
                <w:szCs w:val="18"/>
              </w:rPr>
              <w:t>：部门（单位）履行职责对环境所带来的直接或间接影响。</w:t>
            </w:r>
            <w:r>
              <w:rPr>
                <w:rFonts w:hint="eastAsia" w:ascii="宋体" w:hAnsi="宋体" w:cs="宋体"/>
                <w:b/>
                <w:bCs/>
                <w:color w:val="000000"/>
                <w:kern w:val="0"/>
                <w:sz w:val="18"/>
                <w:szCs w:val="18"/>
              </w:rPr>
              <w:t>可持续性影响：</w:t>
            </w:r>
            <w:r>
              <w:rPr>
                <w:rFonts w:hint="eastAsia" w:ascii="宋体" w:hAnsi="宋体" w:cs="宋体"/>
                <w:color w:val="000000"/>
                <w:kern w:val="0"/>
                <w:sz w:val="18"/>
                <w:szCs w:val="18"/>
              </w:rPr>
              <w:t>部门绩效目标实现的长效机制建设情况，部门工作效率提升措施的创新。</w:t>
            </w:r>
            <w:r>
              <w:rPr>
                <w:rFonts w:hint="eastAsia" w:ascii="宋体" w:hAnsi="宋体" w:cs="宋体"/>
                <w:b/>
                <w:bCs/>
                <w:color w:val="000000"/>
                <w:kern w:val="0"/>
                <w:sz w:val="18"/>
                <w:szCs w:val="18"/>
              </w:rPr>
              <w:t>服务对象满意度</w:t>
            </w:r>
            <w:r>
              <w:rPr>
                <w:rFonts w:hint="eastAsia" w:ascii="宋体" w:hAnsi="宋体" w:cs="宋体"/>
                <w:color w:val="000000"/>
                <w:kern w:val="0"/>
                <w:sz w:val="18"/>
                <w:szCs w:val="18"/>
              </w:rPr>
              <w:t>：部门（单位）的服务对象对部门履职效果的满意程度。</w:t>
            </w:r>
          </w:p>
        </w:tc>
        <w:tc>
          <w:tcPr>
            <w:tcW w:w="3580" w:type="dxa"/>
            <w:vMerge w:val="restar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部门根据实际情况选择指标进行填写，并将其细化为相应的个性化指标。对于效益类指标可从受益对象瞄准度、受益广度和受益深度上进行设计分析。</w:t>
            </w:r>
          </w:p>
        </w:tc>
      </w:tr>
      <w:tr>
        <w:trPr>
          <w:cantSplit/>
          <w:trHeight w:val="2846"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90"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为今后财务工作奠定基础</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kern w:val="0"/>
                <w:sz w:val="18"/>
                <w:szCs w:val="18"/>
              </w:rPr>
              <w:t>定性</w:t>
            </w:r>
          </w:p>
        </w:tc>
        <w:tc>
          <w:tcPr>
            <w:tcW w:w="146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20"/>
                <w:szCs w:val="20"/>
              </w:rPr>
            </w:pPr>
            <w:r>
              <w:rPr>
                <w:rFonts w:hint="eastAsia" w:ascii="宋体" w:hAnsi="宋体" w:cs="宋体"/>
                <w:kern w:val="0"/>
                <w:sz w:val="18"/>
                <w:szCs w:val="18"/>
              </w:rPr>
              <w:t>完成</w:t>
            </w:r>
          </w:p>
        </w:tc>
        <w:tc>
          <w:tcPr>
            <w:tcW w:w="77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487" w:hRule="atLeast"/>
        </w:trPr>
        <w:tc>
          <w:tcPr>
            <w:tcW w:w="14174" w:type="dxa"/>
            <w:gridSpan w:val="9"/>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20"/>
                <w:szCs w:val="20"/>
              </w:rPr>
              <w:t>预算管理情况（20分）</w:t>
            </w:r>
          </w:p>
        </w:tc>
      </w:tr>
      <w:tr>
        <w:trPr>
          <w:cantSplit/>
          <w:trHeight w:val="702" w:hRule="atLeast"/>
        </w:trPr>
        <w:tc>
          <w:tcPr>
            <w:tcW w:w="11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6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p>
        </w:tc>
        <w:tc>
          <w:tcPr>
            <w:tcW w:w="159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p>
        </w:tc>
        <w:tc>
          <w:tcPr>
            <w:tcW w:w="11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r>
              <w:rPr>
                <w:rFonts w:ascii="宋体" w:hAnsi="宋体" w:cs="宋体"/>
                <w:color w:val="000000"/>
                <w:kern w:val="0"/>
                <w:sz w:val="20"/>
                <w:szCs w:val="20"/>
              </w:rPr>
              <w:t>值</w:t>
            </w:r>
          </w:p>
        </w:tc>
        <w:tc>
          <w:tcPr>
            <w:tcW w:w="146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w:t>
            </w:r>
            <w:r>
              <w:rPr>
                <w:rFonts w:ascii="宋体" w:hAnsi="宋体" w:cs="宋体"/>
                <w:color w:val="000000"/>
                <w:kern w:val="0"/>
                <w:sz w:val="20"/>
                <w:szCs w:val="20"/>
              </w:rPr>
              <w:t>值</w:t>
            </w:r>
          </w:p>
        </w:tc>
        <w:tc>
          <w:tcPr>
            <w:tcW w:w="77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w:t>
            </w:r>
            <w:r>
              <w:rPr>
                <w:rFonts w:ascii="宋体" w:hAnsi="宋体" w:cs="宋体"/>
                <w:color w:val="000000"/>
                <w:kern w:val="0"/>
                <w:sz w:val="20"/>
                <w:szCs w:val="20"/>
              </w:rPr>
              <w:t>值</w:t>
            </w:r>
          </w:p>
        </w:tc>
        <w:tc>
          <w:tcPr>
            <w:tcW w:w="848"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w:t>
            </w:r>
            <w:r>
              <w:rPr>
                <w:rFonts w:ascii="宋体" w:hAnsi="宋体" w:cs="宋体"/>
                <w:color w:val="000000"/>
                <w:kern w:val="0"/>
                <w:sz w:val="20"/>
                <w:szCs w:val="20"/>
              </w:rPr>
              <w:t>分</w:t>
            </w:r>
          </w:p>
        </w:tc>
        <w:tc>
          <w:tcPr>
            <w:tcW w:w="29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35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rPr>
          <w:cantSplit/>
          <w:trHeight w:val="1230" w:hRule="atLeast"/>
        </w:trPr>
        <w:tc>
          <w:tcPr>
            <w:tcW w:w="117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预算管理情况（20）</w:t>
            </w:r>
          </w:p>
        </w:tc>
        <w:tc>
          <w:tcPr>
            <w:tcW w:w="67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财务管理（4）</w:t>
            </w:r>
          </w:p>
        </w:tc>
        <w:tc>
          <w:tcPr>
            <w:tcW w:w="159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财务管理制度健全性</w:t>
            </w:r>
          </w:p>
        </w:tc>
        <w:tc>
          <w:tcPr>
            <w:tcW w:w="11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18"/>
                <w:szCs w:val="18"/>
              </w:rPr>
              <w:t>　财务制度是否健全</w:t>
            </w:r>
          </w:p>
        </w:tc>
        <w:tc>
          <w:tcPr>
            <w:tcW w:w="146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财务制度有《民建北京市委机关财务管理制度》、《民建北京市委机关支出　</w:t>
            </w:r>
          </w:p>
        </w:tc>
        <w:tc>
          <w:tcPr>
            <w:tcW w:w="77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848"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　</w:t>
            </w:r>
          </w:p>
        </w:tc>
        <w:tc>
          <w:tcPr>
            <w:tcW w:w="292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财务管理制度健全性:</w:t>
            </w:r>
            <w:r>
              <w:rPr>
                <w:rFonts w:hint="eastAsia" w:ascii="宋体" w:hAnsi="宋体" w:cs="宋体"/>
                <w:color w:val="000000"/>
                <w:kern w:val="0"/>
                <w:sz w:val="18"/>
                <w:szCs w:val="18"/>
              </w:rPr>
              <w:t>部门（单位）为加强财务管理、规范财务行为而制定的管理制度。</w:t>
            </w:r>
          </w:p>
        </w:tc>
        <w:tc>
          <w:tcPr>
            <w:tcW w:w="3580"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trPr>
          <w:cantSplit/>
          <w:trHeight w:val="2220" w:hRule="atLeast"/>
        </w:trPr>
        <w:tc>
          <w:tcPr>
            <w:tcW w:w="1175"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资金使用合规性和安全性</w:t>
            </w:r>
          </w:p>
        </w:tc>
        <w:tc>
          <w:tcPr>
            <w:tcW w:w="11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资金使用合规、安全　</w:t>
            </w:r>
          </w:p>
        </w:tc>
        <w:tc>
          <w:tcPr>
            <w:tcW w:w="146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资金的使用按照国家财经法规和财务管理制度的规定，金额较大开支执行三重一大制度，不存在截留、挤占、挪用情况，公务卡使用有相关的制度规定约束，预算资金整体规范运行。　</w:t>
            </w:r>
          </w:p>
        </w:tc>
        <w:tc>
          <w:tcPr>
            <w:tcW w:w="77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848"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2　</w:t>
            </w:r>
          </w:p>
        </w:tc>
        <w:tc>
          <w:tcPr>
            <w:tcW w:w="292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资金使用合规性和安全性:</w:t>
            </w:r>
            <w:r>
              <w:rPr>
                <w:rFonts w:hint="eastAsia" w:ascii="宋体" w:hAnsi="宋体" w:cs="宋体"/>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3580"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rPr>
          <w:cantSplit/>
          <w:trHeight w:val="410"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9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会计基础信息完善性</w:t>
            </w:r>
          </w:p>
        </w:tc>
        <w:tc>
          <w:tcPr>
            <w:tcW w:w="114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r>
              <w:rPr>
                <w:rFonts w:hint="eastAsia" w:ascii="宋体" w:hAnsi="宋体" w:cs="宋体"/>
                <w:color w:val="000000"/>
                <w:kern w:val="0"/>
                <w:sz w:val="18"/>
                <w:szCs w:val="18"/>
              </w:rPr>
              <w:t>会计基础信息是否完整　</w:t>
            </w:r>
          </w:p>
        </w:tc>
        <w:tc>
          <w:tcPr>
            <w:tcW w:w="1466"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严格执行政府会计制度，对真实的会计信息进行核算，及时提供合法、真实、准确和完整的会计信息　　</w:t>
            </w:r>
          </w:p>
        </w:tc>
        <w:tc>
          <w:tcPr>
            <w:tcW w:w="7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　</w:t>
            </w:r>
          </w:p>
        </w:tc>
        <w:tc>
          <w:tcPr>
            <w:tcW w:w="292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会计基础信息完善性:</w:t>
            </w:r>
            <w:r>
              <w:rPr>
                <w:rFonts w:hint="eastAsia" w:ascii="宋体" w:hAnsi="宋体" w:cs="宋体"/>
                <w:color w:val="000000"/>
                <w:kern w:val="0"/>
                <w:sz w:val="18"/>
                <w:szCs w:val="18"/>
              </w:rPr>
              <w:t>部门（单位）会计基础信息情况。</w:t>
            </w:r>
          </w:p>
        </w:tc>
        <w:tc>
          <w:tcPr>
            <w:tcW w:w="358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trPr>
          <w:cantSplit/>
          <w:trHeight w:val="2220"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资产管理（4）</w:t>
            </w:r>
          </w:p>
        </w:tc>
        <w:tc>
          <w:tcPr>
            <w:tcW w:w="1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资产管理规范性</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资产购置、处置、配置是否合理、规范</w:t>
            </w:r>
          </w:p>
        </w:tc>
        <w:tc>
          <w:tcPr>
            <w:tcW w:w="146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制定了资产管理办法，资产购置有计划，有预算，且在预算指标内进行采购，资产按照规定标准配置，按时盘点资产，保证资产的安全完整，报废资产按照规定流程执行报废手续，不存在出租出借资产行为。</w:t>
            </w:r>
          </w:p>
        </w:tc>
        <w:tc>
          <w:tcPr>
            <w:tcW w:w="7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8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　</w:t>
            </w:r>
          </w:p>
        </w:tc>
        <w:tc>
          <w:tcPr>
            <w:tcW w:w="292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资产管理规范性:</w:t>
            </w:r>
            <w:r>
              <w:rPr>
                <w:rFonts w:hint="eastAsia" w:ascii="宋体" w:hAnsi="宋体" w:cs="宋体"/>
                <w:color w:val="000000"/>
                <w:kern w:val="0"/>
                <w:sz w:val="18"/>
                <w:szCs w:val="18"/>
              </w:rPr>
              <w:t>部门（单位）的资产是否保持安全完整，资产配置是否合理，资产使用和资产处理是否规范，用以反映和考核部门（单位）资产管理的整体水平。</w:t>
            </w:r>
          </w:p>
        </w:tc>
        <w:tc>
          <w:tcPr>
            <w:tcW w:w="358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rPr>
          <w:cantSplit/>
          <w:trHeight w:val="2160"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绩效管理（4）</w:t>
            </w:r>
          </w:p>
        </w:tc>
        <w:tc>
          <w:tcPr>
            <w:tcW w:w="159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绩效管理情况</w:t>
            </w:r>
          </w:p>
        </w:tc>
        <w:tc>
          <w:tcPr>
            <w:tcW w:w="1140"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绩效信息是否经过整理汇总，并加以运用</w:t>
            </w:r>
          </w:p>
        </w:tc>
        <w:tc>
          <w:tcPr>
            <w:tcW w:w="1466"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能够按照预算绩效目标开展各项工作，绩效信息比较丰富，但分析运用尚需加强</w:t>
            </w:r>
          </w:p>
        </w:tc>
        <w:tc>
          <w:tcPr>
            <w:tcW w:w="77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848"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3.5</w:t>
            </w:r>
            <w:r>
              <w:rPr>
                <w:rFonts w:hint="eastAsia" w:ascii="宋体" w:hAnsi="宋体" w:cs="宋体"/>
                <w:color w:val="000000"/>
                <w:kern w:val="0"/>
                <w:sz w:val="20"/>
                <w:szCs w:val="20"/>
              </w:rPr>
              <w:t>　</w:t>
            </w:r>
          </w:p>
        </w:tc>
        <w:tc>
          <w:tcPr>
            <w:tcW w:w="292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绩效管理情况:</w:t>
            </w:r>
            <w:r>
              <w:rPr>
                <w:rFonts w:hint="eastAsia" w:ascii="宋体" w:hAnsi="宋体" w:cs="宋体"/>
                <w:color w:val="000000"/>
                <w:kern w:val="0"/>
                <w:sz w:val="18"/>
                <w:szCs w:val="18"/>
              </w:rPr>
              <w:t>考核部门（单位）在绩效管理信息的汇总和应用情况。</w:t>
            </w:r>
          </w:p>
        </w:tc>
        <w:tc>
          <w:tcPr>
            <w:tcW w:w="3580"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①部门（单位）是否及时对绩效信息进行汇总分析整理；②部门（单位）是否对绩效目标偏离情况及时进行矫正。每有一项不合格扣2分。</w:t>
            </w:r>
          </w:p>
        </w:tc>
      </w:tr>
      <w:tr>
        <w:trPr>
          <w:cantSplit/>
          <w:trHeight w:val="394"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　</w:t>
            </w:r>
          </w:p>
        </w:tc>
        <w:tc>
          <w:tcPr>
            <w:tcW w:w="2730"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w:t>
            </w:r>
          </w:p>
        </w:tc>
        <w:tc>
          <w:tcPr>
            <w:tcW w:w="146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w:t>
            </w:r>
          </w:p>
        </w:tc>
        <w:tc>
          <w:tcPr>
            <w:tcW w:w="77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4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29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3580" w:type="dxa"/>
            <w:tcBorders>
              <w:top w:val="single" w:color="auto" w:sz="4" w:space="0"/>
              <w:left w:val="nil"/>
              <w:bottom w:val="single" w:color="auto" w:sz="4" w:space="0"/>
              <w:right w:val="single" w:color="auto" w:sz="4" w:space="0"/>
            </w:tcBorders>
            <w:vAlign w:val="center"/>
          </w:tcPr>
          <w:p>
            <w:pPr>
              <w:widowControl/>
              <w:jc w:val="center"/>
              <w:rPr>
                <w:rFonts w:eastAsia="Times New Roman"/>
                <w:kern w:val="0"/>
                <w:sz w:val="20"/>
                <w:szCs w:val="20"/>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rPr>
          <w:cantSplit/>
          <w:trHeight w:val="2229"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结转结余率（4）</w:t>
            </w:r>
          </w:p>
        </w:tc>
        <w:tc>
          <w:tcPr>
            <w:tcW w:w="2730"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1.71%　</w:t>
            </w:r>
          </w:p>
        </w:tc>
        <w:tc>
          <w:tcPr>
            <w:tcW w:w="1466"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3.66%　</w:t>
            </w:r>
          </w:p>
        </w:tc>
        <w:tc>
          <w:tcPr>
            <w:tcW w:w="7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3.22　</w:t>
            </w:r>
          </w:p>
        </w:tc>
        <w:tc>
          <w:tcPr>
            <w:tcW w:w="292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结转结余率=结转结余总额/支出预算数×100%。</w:t>
            </w:r>
            <w:r>
              <w:rPr>
                <w:rFonts w:hint="eastAsia" w:ascii="宋体" w:hAnsi="宋体" w:cs="宋体"/>
                <w:color w:val="000000"/>
                <w:kern w:val="0"/>
                <w:sz w:val="18"/>
                <w:szCs w:val="18"/>
              </w:rPr>
              <w:br/>
            </w:r>
            <w:r>
              <w:rPr>
                <w:rFonts w:hint="eastAsia" w:ascii="宋体" w:hAnsi="宋体" w:cs="宋体"/>
                <w:color w:val="000000"/>
                <w:kern w:val="0"/>
                <w:sz w:val="18"/>
                <w:szCs w:val="18"/>
              </w:rPr>
              <w:t>结转结余总额：部门（单位）本年度的结转资金与结余资金之和。</w:t>
            </w:r>
          </w:p>
        </w:tc>
        <w:tc>
          <w:tcPr>
            <w:tcW w:w="3580"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rPr>
          <w:cantSplit/>
          <w:trHeight w:val="981" w:hRule="atLeast"/>
        </w:trPr>
        <w:tc>
          <w:tcPr>
            <w:tcW w:w="11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2"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部门预决算差异率（4）</w:t>
            </w:r>
          </w:p>
        </w:tc>
        <w:tc>
          <w:tcPr>
            <w:tcW w:w="2730" w:type="dxa"/>
            <w:gridSpan w:val="2"/>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46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4.40%</w:t>
            </w:r>
          </w:p>
        </w:tc>
        <w:tc>
          <w:tcPr>
            <w:tcW w:w="7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　</w:t>
            </w:r>
          </w:p>
        </w:tc>
        <w:tc>
          <w:tcPr>
            <w:tcW w:w="292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通过年度部门决算与年初部门预算对比，对部门的年度支出情况进行考核，衡量部门预算的约束力。</w:t>
            </w:r>
          </w:p>
        </w:tc>
        <w:tc>
          <w:tcPr>
            <w:tcW w:w="358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部门预决算差异率高于市级平均差异率（28.3%）的，每高出10%（含），扣0.4分，扣完为止。</w:t>
            </w:r>
          </w:p>
        </w:tc>
      </w:tr>
      <w:tr>
        <w:trPr>
          <w:cantSplit/>
          <w:trHeight w:val="484" w:hRule="atLeast"/>
        </w:trPr>
        <w:tc>
          <w:tcPr>
            <w:tcW w:w="6043"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7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96.65　</w:t>
            </w:r>
          </w:p>
        </w:tc>
        <w:tc>
          <w:tcPr>
            <w:tcW w:w="6506"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bl>
    <w:p>
      <w:pPr>
        <w:spacing w:line="20" w:lineRule="exact"/>
        <w:rPr>
          <w:rFonts w:ascii="方正小标宋简体" w:eastAsia="方正小标宋简体"/>
          <w:sz w:val="36"/>
          <w:szCs w:val="36"/>
        </w:rPr>
      </w:pPr>
    </w:p>
    <w:p/>
    <w:sectPr>
      <w:pgSz w:w="16838" w:h="11906" w:orient="landscape"/>
      <w:pgMar w:top="1800" w:right="1440" w:bottom="1800" w:left="144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Arial Unicode MS">
    <w:altName w:val="宋体"/>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jc w:val="center"/>
    </w:pPr>
    <w:r>
      <w:fldChar w:fldCharType="begin"/>
    </w:r>
    <w:r>
      <w:instrText xml:space="preserve">PAGE   \* MERGEFORMAT</w:instrText>
    </w:r>
    <w:r>
      <w:fldChar w:fldCharType="separate"/>
    </w:r>
    <w:r>
      <w:rPr>
        <w:lang w:val="zh-CN"/>
      </w:rP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spacing w:line="600" w:lineRule="exact"/>
      <w:ind w:firstLine="640"/>
      <w:outlineLvl w:val="0"/>
    </w:pPr>
    <w:rPr>
      <w:rFonts w:ascii="黑体" w:hAnsi="黑体" w:eastAsia="黑体" w:cs="宋体"/>
      <w:color w:val="000000"/>
      <w:kern w:val="0"/>
    </w:rPr>
  </w:style>
  <w:style w:type="character" w:default="1" w:styleId="7">
    <w:name w:val="Default Paragraph Font"/>
    <w:semiHidden/>
    <w:unhideWhenUsed/>
    <w:qFormat/>
    <w:uiPriority w:val="1"/>
  </w:style>
  <w:style w:type="paragraph" w:styleId="2">
    <w:name w:val="footer"/>
    <w:basedOn w:val="1"/>
    <w:next w:val="1"/>
    <w:link w:val="9"/>
    <w:qFormat/>
    <w:uiPriority w:val="99"/>
    <w:pPr>
      <w:tabs>
        <w:tab w:val="center" w:pos="4153"/>
        <w:tab w:val="right" w:pos="8306"/>
      </w:tabs>
      <w:snapToGrid w:val="0"/>
      <w:jc w:val="left"/>
    </w:pPr>
    <w:rPr>
      <w:sz w:val="18"/>
      <w:szCs w:val="20"/>
    </w:rPr>
  </w:style>
  <w:style w:type="paragraph" w:styleId="4">
    <w:name w:val="Body Text"/>
    <w:basedOn w:val="1"/>
    <w:link w:val="11"/>
    <w:qFormat/>
    <w:uiPriority w:val="1"/>
    <w:pPr>
      <w:ind w:left="109"/>
    </w:pPr>
    <w:rPr>
      <w:rFonts w:ascii="Arial Unicode MS" w:hAnsi="Arial Unicode MS" w:eastAsia="Arial Unicode MS" w:cs="Arial Unicode MS"/>
      <w:sz w:val="32"/>
      <w:szCs w:val="32"/>
    </w:rPr>
  </w:style>
  <w:style w:type="paragraph" w:styleId="5">
    <w:name w:val="Block Text"/>
    <w:basedOn w:val="1"/>
    <w:qFormat/>
    <w:uiPriority w:val="0"/>
    <w:pPr>
      <w:spacing w:after="120"/>
      <w:ind w:left="700" w:leftChars="700" w:right="700" w:rightChars="700"/>
    </w:pPr>
  </w:style>
  <w:style w:type="paragraph" w:styleId="6">
    <w:name w:val="header"/>
    <w:basedOn w:val="1"/>
    <w:link w:val="8"/>
    <w:qFormat/>
    <w:uiPriority w:val="99"/>
    <w:pPr>
      <w:pBdr>
        <w:bottom w:val="single" w:color="auto" w:sz="4" w:space="1"/>
      </w:pBdr>
      <w:tabs>
        <w:tab w:val="center" w:pos="4153"/>
        <w:tab w:val="right" w:pos="8306"/>
      </w:tabs>
      <w:snapToGrid w:val="0"/>
      <w:jc w:val="center"/>
    </w:pPr>
    <w:rPr>
      <w:sz w:val="18"/>
      <w:szCs w:val="18"/>
    </w:rPr>
  </w:style>
  <w:style w:type="character" w:customStyle="1" w:styleId="8">
    <w:name w:val="页眉 字符"/>
    <w:basedOn w:val="7"/>
    <w:link w:val="6"/>
    <w:uiPriority w:val="99"/>
    <w:rPr>
      <w:kern w:val="2"/>
      <w:sz w:val="18"/>
      <w:szCs w:val="18"/>
    </w:rPr>
  </w:style>
  <w:style w:type="character" w:customStyle="1" w:styleId="9">
    <w:name w:val="页脚 字符"/>
    <w:basedOn w:val="7"/>
    <w:link w:val="2"/>
    <w:uiPriority w:val="99"/>
    <w:rPr>
      <w:kern w:val="2"/>
      <w:sz w:val="18"/>
    </w:rPr>
  </w:style>
  <w:style w:type="character" w:customStyle="1" w:styleId="10">
    <w:name w:val="font11"/>
    <w:basedOn w:val="7"/>
    <w:uiPriority w:val="0"/>
    <w:rPr>
      <w:rFonts w:hint="eastAsia" w:ascii="宋体" w:hAnsi="宋体" w:eastAsia="宋体" w:cs="宋体"/>
      <w:color w:val="000000"/>
      <w:sz w:val="18"/>
      <w:szCs w:val="18"/>
      <w:u w:val="none"/>
    </w:rPr>
  </w:style>
  <w:style w:type="character" w:customStyle="1" w:styleId="11">
    <w:name w:val="正文文本 字符"/>
    <w:basedOn w:val="7"/>
    <w:link w:val="4"/>
    <w:uiPriority w:val="1"/>
    <w:rPr>
      <w:rFonts w:ascii="Arial Unicode MS" w:hAnsi="Arial Unicode MS" w:eastAsia="Arial Unicode MS" w:cs="Arial Unicode MS"/>
      <w:kern w:val="2"/>
      <w:sz w:val="32"/>
      <w:szCs w:val="32"/>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1208</Words>
  <Characters>6887</Characters>
  <Lines>57</Lines>
  <Paragraphs>16</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2023-05-07T04:49:00Z</dcterms:created>
  <dc:creator>jscxw</dc:creator>
  <cp:lastModifiedBy>闫立伟</cp:lastModifiedBy>
  <dcterms:modified xsi:type="dcterms:W3CDTF">2024-05-20T02:27:38Z</dcterms:modified>
  <dc:title>附件4</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y fmtid="{D5CDD505-2E9C-101B-9397-08002B2CF9AE}" pid="3" name="ICV">
    <vt:lpwstr>CB880C7629894C57986C623B075C9A8B_13</vt:lpwstr>
  </property>
</Properties>
</file>